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bin" ContentType="application/vnd.openxmlformats-officedocument.oleObject"/>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 Id="rId00002" Type="http://schemas.openxmlformats.org/package/2006/relationships/metadata/core-properties" Target="docProps/core.xml"/>
	<Relationship Id="rId00003"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mc="http://schemas.openxmlformats.org/markup-compatibility/2006" xmlns:w14="http://schemas.microsoft.com/office/word/2010/wordml" xmlns:w15="http://schemas.microsoft.com/office/word/2012/wordml" xmlns:tx19="http://schemas.textcontrol.com/tx/1900" mc:Ignorable="w14 w15 tx19">
  <w:body>
    <w:p>
      <w:pPr>
        <w:pStyle w:val="[Normal]"/>
        <w:spacing w:line="360" w:lineRule="auto"/>
        <w:rPr>
          <w:lang w:val="es-AR" w:eastAsia="es-AR" w:bidi="es-AR"/>
        </w:rPr>
      </w:pPr>
      <w:r>
        <w:rPr>
          <w:sz w:val="20"/>
          <w:lang w:val="es-AR" w:eastAsia="es-AR" w:bidi="es-AR"/>
        </w:rPr>
        <w:t xml:space="preserve"> </w:t>
      </w:r>
      <w:r>
        <w:rPr>
          <w:b/>
          <w:lang w:val="es-AR" w:eastAsia="es-AR" w:bidi="es-AR"/>
        </w:rPr>
        <w:t xml:space="preserve">Registro N°   186  /</w:t>
      </w:r>
      <w:r>
        <w:rPr>
          <w:b/>
          <w:color w:val="000000"/>
          <w:lang w:val="es-AR" w:eastAsia="es-AR" w:bidi="es-AR"/>
        </w:rPr>
        <w:t xml:space="preserve">2018</w:t>
      </w:r>
      <w:r>
        <w:rPr>
          <w:color w:val="000000"/>
          <w:lang w:val="es-AR" w:eastAsia="es-AR" w:bidi="es-AR"/>
        </w:rPr>
        <w:t xml:space="preserve"> </w:t>
      </w:r>
    </w:p>
    <w:p>
      <w:pPr>
        <w:pStyle w:val="[Normal]"/>
        <w:spacing w:line="360" w:lineRule="auto"/>
        <w:jc w:val="both"/>
        <w:rPr>
          <w:lang w:val="es-AR" w:eastAsia="es-AR" w:bidi="es-AR"/>
        </w:rPr>
      </w:pPr>
      <w:r>
        <w:rPr>
          <w:b/>
          <w:lang w:val="es-AR" w:eastAsia="es-AR" w:bidi="es-AR"/>
        </w:rPr>
        <w:t xml:space="preserve">	Fojas</w:t>
      </w:r>
      <w:r>
        <w:rPr>
          <w:lang w:val="es-AR" w:eastAsia="es-AR" w:bidi="es-AR"/>
        </w:rPr>
        <w:t xml:space="preserve">       899/908      </w:t>
      </w:r>
    </w:p>
    <w:p>
      <w:pPr>
        <w:pStyle w:val="[Normal]"/>
        <w:spacing w:line="360" w:lineRule="auto"/>
        <w:jc w:val="both"/>
        <w:rPr>
          <w:lang w:val="es-AR" w:eastAsia="es-AR" w:bidi="es-AR"/>
        </w:rPr>
      </w:pPr>
    </w:p>
    <w:p>
      <w:pPr>
        <w:pStyle w:val="[Normal]"/>
        <w:spacing w:line="480" w:lineRule="auto"/>
        <w:ind w:firstLine="1134"/>
        <w:jc w:val="both"/>
        <w:rPr>
          <w:lang w:val="es-AR" w:eastAsia="es-AR" w:bidi="es-AR"/>
        </w:rPr>
      </w:pPr>
      <w:r>
        <w:rPr>
          <w:lang w:val="es-AR" w:eastAsia="es-AR" w:bidi="es-AR"/>
        </w:rPr>
        <w:t xml:space="preserve">En la ciudad de Pergamino, el 04 de Diciembre de </w:t>
      </w:r>
      <w:r>
        <w:rPr>
          <w:color w:val="000000"/>
          <w:lang w:val="es-AR" w:eastAsia="es-AR" w:bidi="es-AR"/>
        </w:rPr>
        <w:t xml:space="preserve">2018</w:t>
      </w:r>
      <w:r>
        <w:rPr>
          <w:lang w:val="es-AR" w:eastAsia="es-AR" w:bidi="es-AR"/>
        </w:rPr>
        <w:t xml:space="preserve">, reunidos en Acuerdo Ordinario los Sres. Jueces de la Excma. Cámara de Apelación en lo Civil y Comercial del Departamento Judicial Pergamino, para dictar sentencia en la causa N° </w:t>
      </w:r>
      <w:r>
        <w:rPr>
          <w:b/>
          <w:i/>
          <w:color w:val="000000"/>
          <w:lang w:val="es-AR" w:eastAsia="es-AR" w:bidi="es-AR"/>
        </w:rPr>
        <w:t xml:space="preserve">3477-18</w:t>
      </w:r>
      <w:r>
        <w:rPr>
          <w:lang w:val="es-AR" w:eastAsia="es-AR" w:bidi="es-AR"/>
        </w:rPr>
        <w:t xml:space="preserve"> caratulada </w:t>
      </w:r>
      <w:r>
        <w:rPr>
          <w:b/>
          <w:i/>
          <w:lang w:val="es-AR" w:eastAsia="es-AR" w:bidi="es-AR"/>
        </w:rPr>
        <w:t xml:space="preserve">"</w:t>
      </w:r>
      <w:r>
        <w:rPr>
          <w:b/>
          <w:i/>
          <w:color w:val="000000"/>
          <w:lang w:val="es-AR" w:eastAsia="es-AR" w:bidi="es-AR"/>
        </w:rPr>
        <w:t xml:space="preserve">D´ALESSANDRO CONCEPCION CRISTINA Y OTRO/A  C/ FEDERACION MEDICA DE LA PROVINCIA DE BUENOS AIRES (FEMEBA) S/ AMPARO</w:t>
      </w:r>
      <w:r>
        <w:rPr>
          <w:b/>
          <w:i/>
          <w:lang w:val="es-AR" w:eastAsia="es-AR" w:bidi="es-AR"/>
        </w:rPr>
        <w:t xml:space="preserve">"</w:t>
      </w:r>
      <w:r>
        <w:rPr>
          <w:lang w:val="es-AR" w:eastAsia="es-AR" w:bidi="es-AR"/>
        </w:rPr>
        <w:t xml:space="preserve">, Expte. N° 73.177 del Juzgado en lo Civil y Comercial N° 1 departamental, se practicó el sorteo de ley que determinó que la votación debía efectuarse en el siguiente orden: Roberto Manuel Degleue y Graciela Scaraffía, y estudiados los autos se resolvió plantear y votar las siguientes: </w:t>
      </w:r>
    </w:p>
    <w:p>
      <w:pPr>
        <w:pStyle w:val="[Normal]"/>
        <w:spacing w:line="480" w:lineRule="auto"/>
        <w:ind w:firstLine="1134"/>
        <w:jc w:val="both"/>
        <w:rPr>
          <w:lang w:val="es-AR" w:eastAsia="es-AR" w:bidi="es-AR"/>
        </w:rPr>
      </w:pPr>
      <w:r>
        <w:rPr>
          <w:b/>
          <w:u w:val="single"/>
          <w:lang w:val="es-AR" w:eastAsia="es-AR" w:bidi="es-AR"/>
        </w:rPr>
        <w:t xml:space="preserve">C U E S T I O N E S:</w:t>
      </w:r>
    </w:p>
    <w:p>
      <w:pPr>
        <w:pStyle w:val="[Normal]"/>
        <w:spacing w:line="480" w:lineRule="auto"/>
        <w:ind w:firstLine="1134"/>
        <w:jc w:val="both"/>
        <w:rPr>
          <w:lang w:val="es-AR" w:eastAsia="es-AR" w:bidi="es-AR"/>
        </w:rPr>
      </w:pPr>
      <w:r>
        <w:rPr>
          <w:lang w:val="es-AR" w:eastAsia="es-AR" w:bidi="es-AR"/>
        </w:rPr>
        <w:t xml:space="preserve">I) ¿Se ajusta a derecho la  sentencia apelada?</w:t>
      </w:r>
    </w:p>
    <w:p>
      <w:pPr>
        <w:pStyle w:val="[Normal]"/>
        <w:spacing w:line="480" w:lineRule="auto"/>
        <w:ind w:firstLine="1134"/>
        <w:jc w:val="both"/>
        <w:rPr>
          <w:lang w:val="es-AR" w:eastAsia="es-AR" w:bidi="es-AR"/>
        </w:rPr>
      </w:pPr>
      <w:r>
        <w:rPr>
          <w:lang w:val="es-AR" w:eastAsia="es-AR" w:bidi="es-AR"/>
        </w:rPr>
        <w:t xml:space="preserve">II) ¿Qué pronunciamiento  corresponde dictar?</w:t>
      </w:r>
    </w:p>
    <w:p>
      <w:pPr>
        <w:pStyle w:val="[Normal]"/>
        <w:spacing w:line="480" w:lineRule="auto"/>
        <w:ind w:firstLine="1134"/>
        <w:jc w:val="both"/>
        <w:rPr>
          <w:lang w:val="es-AR" w:eastAsia="es-AR" w:bidi="es-AR"/>
        </w:rPr>
      </w:pPr>
      <w:r>
        <w:rPr>
          <w:lang w:val="es-AR" w:eastAsia="es-AR" w:bidi="es-AR"/>
        </w:rPr>
        <w:t xml:space="preserve">A la primera cuestión el señor Juez Roberto Manuel Degleue dijo:</w:t>
      </w:r>
    </w:p>
    <w:p>
      <w:pPr>
        <w:pStyle w:val="[Normal]"/>
        <w:spacing w:line="480" w:lineRule="auto"/>
        <w:ind w:firstLine="1134"/>
        <w:jc w:val="both"/>
        <w:rPr>
          <w:lang w:val="es-AR" w:eastAsia="es-AR" w:bidi="es-AR"/>
        </w:rPr>
      </w:pPr>
      <w:r>
        <w:rPr>
          <w:lang w:val="es-AR" w:eastAsia="es-AR" w:bidi="es-AR"/>
        </w:rPr>
        <w:t xml:space="preserve">El señor Juez de la anterior instancia falló en la presente rechazando </w:t>
      </w:r>
      <w:r>
        <w:rPr>
          <w:i/>
          <w:lang w:val="es-AR" w:eastAsia="es-AR" w:bidi="es-AR"/>
        </w:rPr>
        <w:t xml:space="preserve">in límine</w:t>
      </w:r>
      <w:r>
        <w:rPr>
          <w:lang w:val="es-AR" w:eastAsia="es-AR" w:bidi="es-AR"/>
        </w:rPr>
        <w:t xml:space="preserve"> la acción de amparo deducida, ordenando -una vez firme la sentencia- el archivo de las actuaciones y declarando que no corresponde regulación de honorarios.</w:t>
      </w:r>
    </w:p>
    <w:p>
      <w:pPr>
        <w:pStyle w:val="[Normal]"/>
        <w:spacing w:line="480" w:lineRule="auto"/>
        <w:ind w:firstLine="1134"/>
        <w:jc w:val="both"/>
        <w:rPr>
          <w:lang w:val="es-AR" w:eastAsia="es-AR" w:bidi="es-AR"/>
        </w:rPr>
      </w:pPr>
      <w:r>
        <w:rPr>
          <w:lang w:val="es-AR" w:eastAsia="es-AR" w:bidi="es-AR"/>
        </w:rPr>
        <w:t xml:space="preserve">Interpuso recurso de apelación el apoderado de los amparistas a fs.129/37 fundado en el acto de su interposición.</w:t>
      </w:r>
    </w:p>
    <w:p>
      <w:pPr>
        <w:pStyle w:val="[Normal]"/>
        <w:spacing w:line="480" w:lineRule="auto"/>
        <w:ind w:firstLine="1134"/>
        <w:jc w:val="both"/>
        <w:rPr>
          <w:lang w:val="es-AR" w:eastAsia="es-AR" w:bidi="es-AR"/>
        </w:rPr>
      </w:pPr>
      <w:r>
        <w:rPr>
          <w:lang w:val="es-AR" w:eastAsia="es-AR" w:bidi="es-AR"/>
        </w:rPr>
        <w:t xml:space="preserve">Se agravia en principio de la orden de acreditar el pago de la correspondiente tasa de justicia, destacando al respecto que de conformidad al art. 20 de la ley13.928 se exceptúa el pago de cualquier tributo.</w:t>
      </w:r>
    </w:p>
    <w:p>
      <w:pPr>
        <w:pStyle w:val="[Normal]"/>
        <w:spacing w:line="480" w:lineRule="auto"/>
        <w:ind w:firstLine="1134"/>
        <w:jc w:val="both"/>
        <w:rPr>
          <w:lang w:val="es-AR" w:eastAsia="es-AR" w:bidi="es-AR"/>
        </w:rPr>
      </w:pPr>
      <w:r>
        <w:rPr>
          <w:lang w:val="es-AR" w:eastAsia="es-AR" w:bidi="es-AR"/>
        </w:rPr>
        <w:t xml:space="preserve">Se queja asimismo de la parte del fallo que no hace lugar a la cautelar solicitada explicando que la misma consistía en habilitar a sus poderdantes a seguir integrando el plantel de médicos autorizados para la atención de obras sociales y empresas de medicina privada habilitados por la demandada. Afirma que la medida está vinculada a una situación de urgencia que requiere solución inmediata y que se escuda el juzgador en la decisión asamblearia que convalida un procedimiento nulo para evitar expedirse sobre la cautelar peticionada.</w:t>
      </w:r>
    </w:p>
    <w:p>
      <w:pPr>
        <w:pStyle w:val="[Normal]"/>
        <w:spacing w:line="480" w:lineRule="auto"/>
        <w:ind w:firstLine="1134"/>
        <w:jc w:val="both"/>
        <w:rPr>
          <w:lang w:val="es-AR" w:eastAsia="es-AR" w:bidi="es-AR"/>
        </w:rPr>
      </w:pPr>
      <w:r>
        <w:rPr>
          <w:lang w:val="es-AR" w:eastAsia="es-AR" w:bidi="es-AR"/>
        </w:rPr>
        <w:t xml:space="preserve">Sostiene que no se trata de un acto administrativo emanado de autoridad pública sino de un simple acto societario que a todas luces no respeta el derecho de su parte y no cuenta con la presunción de legitimidad que se reserva a los actos emanados del Estado.</w:t>
      </w:r>
    </w:p>
    <w:p>
      <w:pPr>
        <w:pStyle w:val="[Normal]"/>
        <w:spacing w:line="480" w:lineRule="auto"/>
        <w:ind w:firstLine="1134"/>
        <w:jc w:val="both"/>
        <w:rPr>
          <w:lang w:val="es-AR" w:eastAsia="es-AR" w:bidi="es-AR"/>
        </w:rPr>
      </w:pPr>
      <w:r>
        <w:rPr>
          <w:lang w:val="es-AR" w:eastAsia="es-AR" w:bidi="es-AR"/>
        </w:rPr>
        <w:t xml:space="preserve">Solicita en definitiva, atento al grado de verosimilitud del derecho y teniendo en cuenta el tiempo como factor clave, se ordene la cautelar requerida o en su defecto se disponga un nuevo análisis.</w:t>
      </w:r>
    </w:p>
    <w:p>
      <w:pPr>
        <w:pStyle w:val="[Normal]"/>
        <w:spacing w:line="480" w:lineRule="auto"/>
        <w:ind w:firstLine="1134"/>
        <w:jc w:val="both"/>
        <w:rPr>
          <w:lang w:val="es-AR" w:eastAsia="es-AR" w:bidi="es-AR"/>
        </w:rPr>
      </w:pPr>
      <w:r>
        <w:rPr>
          <w:lang w:val="es-AR" w:eastAsia="es-AR" w:bidi="es-AR"/>
        </w:rPr>
        <w:t xml:space="preserve">Se queja de la decisión del </w:t>
      </w:r>
      <w:r>
        <w:rPr>
          <w:i/>
          <w:lang w:val="es-AR" w:eastAsia="es-AR" w:bidi="es-AR"/>
        </w:rPr>
        <w:t xml:space="preserve">a-quo</w:t>
      </w:r>
      <w:r>
        <w:rPr>
          <w:lang w:val="es-AR" w:eastAsia="es-AR" w:bidi="es-AR"/>
        </w:rPr>
        <w:t xml:space="preserve"> de realizar -con carácter previo- del examen de admisibilidad de la pretensión deducida por la vía de amparo.</w:t>
      </w:r>
    </w:p>
    <w:p>
      <w:pPr>
        <w:pStyle w:val="[Normal]"/>
        <w:spacing w:line="480" w:lineRule="auto"/>
        <w:ind w:firstLine="1134"/>
        <w:jc w:val="both"/>
        <w:rPr>
          <w:lang w:val="es-AR" w:eastAsia="es-AR" w:bidi="es-AR"/>
        </w:rPr>
      </w:pPr>
      <w:r>
        <w:rPr>
          <w:lang w:val="es-AR" w:eastAsia="es-AR" w:bidi="es-AR"/>
        </w:rPr>
        <w:t xml:space="preserve">Manifiesta que ello faculta al juzgador a rechazar de oficio las demandas que no se ajustan a las reglas establecidas en las normas y códigos de rito, pero que dicho examen importa la verificación de los requisitos rituales y formales con independencia de las razones de fondo. Que tal criterio restrictivo es el que debe primar pues el rechazo de oficio cercena el derecho de acción estrechamente vinculado con el derecho constitucional de peticionar. </w:t>
      </w:r>
    </w:p>
    <w:p>
      <w:pPr>
        <w:pStyle w:val="[Normal]"/>
        <w:spacing w:line="480" w:lineRule="auto"/>
        <w:ind w:firstLine="1134"/>
        <w:jc w:val="both"/>
        <w:rPr>
          <w:lang w:val="es-AR" w:eastAsia="es-AR" w:bidi="es-AR"/>
        </w:rPr>
      </w:pPr>
      <w:r>
        <w:rPr>
          <w:lang w:val="es-AR" w:eastAsia="es-AR" w:bidi="es-AR"/>
        </w:rPr>
        <w:t xml:space="preserve">Remarca que en este caso, la demanda cuenta con todos los elementos específicos para la expedita vía del amparo y se aportó prueba documental por demás concluyente.</w:t>
      </w:r>
    </w:p>
    <w:p>
      <w:pPr>
        <w:pStyle w:val="[Normal]"/>
        <w:spacing w:line="480" w:lineRule="auto"/>
        <w:ind w:firstLine="1134"/>
        <w:jc w:val="both"/>
        <w:rPr>
          <w:lang w:val="es-AR" w:eastAsia="es-AR" w:bidi="es-AR"/>
        </w:rPr>
      </w:pPr>
      <w:r>
        <w:rPr>
          <w:lang w:val="es-AR" w:eastAsia="es-AR" w:bidi="es-AR"/>
        </w:rPr>
        <w:t xml:space="preserve">Cita numerosos antecedentes jurisprudenciales que considera de aplicación.</w:t>
      </w:r>
    </w:p>
    <w:p>
      <w:pPr>
        <w:pStyle w:val="[Normal]"/>
        <w:spacing w:line="480" w:lineRule="auto"/>
        <w:ind w:firstLine="1134"/>
        <w:jc w:val="both"/>
        <w:rPr>
          <w:lang w:val="es-AR" w:eastAsia="es-AR" w:bidi="es-AR"/>
        </w:rPr>
      </w:pPr>
      <w:r>
        <w:rPr>
          <w:lang w:val="es-AR" w:eastAsia="es-AR" w:bidi="es-AR"/>
        </w:rPr>
        <w:t xml:space="preserve">Finalmente, respecto de la orden de archivo de las actuaciones afirma que no sería procedente sino que deberían reconducirse entre las figuras admitidas por el Código ritual y volver a peticionar las medidas cautelares que considere pertinentes.</w:t>
      </w:r>
    </w:p>
    <w:p>
      <w:pPr>
        <w:pStyle w:val="[Normal]"/>
        <w:spacing w:line="480" w:lineRule="auto"/>
        <w:ind w:firstLine="1134"/>
        <w:jc w:val="both"/>
        <w:rPr>
          <w:lang w:val="es-AR" w:eastAsia="es-AR" w:bidi="es-AR"/>
        </w:rPr>
      </w:pPr>
      <w:r>
        <w:rPr>
          <w:lang w:val="es-AR" w:eastAsia="es-AR" w:bidi="es-AR"/>
        </w:rPr>
        <w:t xml:space="preserve">Peticiona en definitiva se haga lugar a lo planteado y se provea de conformidad.</w:t>
      </w:r>
    </w:p>
    <w:p>
      <w:pPr>
        <w:pStyle w:val="[Normal]"/>
        <w:spacing w:line="480" w:lineRule="auto"/>
        <w:ind w:firstLine="1134"/>
        <w:jc w:val="both"/>
        <w:rPr>
          <w:lang w:val="es-AR" w:eastAsia="es-AR" w:bidi="es-AR"/>
        </w:rPr>
      </w:pPr>
      <w:r>
        <w:rPr>
          <w:lang w:val="es-AR" w:eastAsia="es-AR" w:bidi="es-AR"/>
        </w:rPr>
        <w:t xml:space="preserve">Llegados los autos a esta Alzada, se dicta el llamamiento de autos de fecha 8 de noviembre de 2018, que habiendo adquirido firmeza deja la causa en condiciones de ser fallada.</w:t>
      </w:r>
    </w:p>
    <w:p>
      <w:pPr>
        <w:pStyle w:val="[Normal]"/>
        <w:spacing w:line="480" w:lineRule="auto"/>
        <w:ind w:firstLine="1134"/>
        <w:jc w:val="both"/>
        <w:rPr>
          <w:lang w:val="es-AR" w:eastAsia="es-AR" w:bidi="es-AR"/>
        </w:rPr>
      </w:pPr>
      <w:r>
        <w:rPr>
          <w:lang w:val="es-AR" w:eastAsia="es-AR" w:bidi="es-AR"/>
        </w:rPr>
        <w:t xml:space="preserve"> He de principiar el estudio de la presente causa adelantando que los agravios expresados por el actor trasuntan en gran medida una disconformidad subjetiva respecto a las razones que el Juzgador tuvo en cuenta para fundar el rechazo in limine de la acción.</w:t>
      </w:r>
    </w:p>
    <w:p>
      <w:pPr>
        <w:pStyle w:val="[Normal]"/>
        <w:spacing w:line="480" w:lineRule="auto"/>
        <w:ind w:firstLine="1134"/>
        <w:jc w:val="both"/>
        <w:rPr>
          <w:lang w:val="es-AR" w:eastAsia="es-AR" w:bidi="es-AR"/>
        </w:rPr>
      </w:pPr>
      <w:r>
        <w:rPr>
          <w:lang w:val="es-AR" w:eastAsia="es-AR" w:bidi="es-AR"/>
        </w:rPr>
        <w:t xml:space="preserve">Este Tribunal ha dicho reiteradamente que: </w:t>
      </w:r>
      <w:r>
        <w:rPr>
          <w:i/>
          <w:lang w:val="es-AR" w:eastAsia="es-AR" w:bidi="es-AR"/>
        </w:rPr>
        <w:t xml:space="preserve">“...el discurso impugnativo no debe limitarse a insistir en un enfoque dísimil al del juzgador, con afán de hacer prevalecer el propio criterio del impugnante sino que ha de estar dirigido a desvirtuar las motivaciones esenciales y rebatirlas punto por punto, demostrando acabadamente los yerros en que incurriera el aquo, ya que la propia opinión discrepante sobre tales tópicos no es base idónea de agravios (arts. 246/260del CPCC). Se exige aportar la demostración de los que se reputa erróneo, injusto o contrario a derecho, debiendo agotarse en la segunda instancia la carga técnica de comunicar a la Alzada cuales con los motivos concretos del agravio sin que puedan ser suficientes las meras discrepancias subjetivas con el criterio expuesto por el juzgador. -Cfr. Morello Códigos Procesales, pág 204 T III-”</w:t>
      </w:r>
      <w:r>
        <w:rPr>
          <w:lang w:val="es-AR" w:eastAsia="es-AR" w:bidi="es-AR"/>
        </w:rPr>
        <w:t xml:space="preserve">  (Cámara de Apelaciones en lo Civil y Comercial de Pergamino. “NADER, Eitel Matilde y Otros c/ ABUD, Anuar y Otros s/ Escrituración”. 17/12/2012.). </w:t>
      </w:r>
    </w:p>
    <w:p>
      <w:pPr>
        <w:pStyle w:val="[Normal]"/>
        <w:spacing w:line="480" w:lineRule="auto"/>
        <w:ind w:firstLine="1134"/>
        <w:jc w:val="both"/>
        <w:rPr>
          <w:lang w:val="es-AR" w:eastAsia="es-AR" w:bidi="es-AR"/>
        </w:rPr>
      </w:pPr>
      <w:r>
        <w:rPr>
          <w:lang w:val="es-AR" w:eastAsia="es-AR" w:bidi="es-AR"/>
        </w:rPr>
        <w:t xml:space="preserve">Sin embargo también se ha admitido que: </w:t>
      </w:r>
      <w:r>
        <w:rPr>
          <w:i/>
          <w:lang w:val="es-AR" w:eastAsia="es-AR" w:bidi="es-AR"/>
        </w:rPr>
        <w:t xml:space="preserve">“</w:t>
      </w:r>
      <w:r>
        <w:rPr>
          <w:i/>
          <w:lang w:val="es-AR" w:eastAsia="es-AR" w:bidi="es-AR"/>
        </w:rPr>
        <w:t xml:space="preserve">En la sustentación del recurso de apelación el cumplimiento de sus requisitos debe ponderarse con tolerancia, mediante una interpretación amplia que los tenga cumplidos aún frente a la precariedad de la crítica del fallo apelado; por ello, si la apelación cumple en </w:t>
      </w:r>
      <w:r>
        <w:rPr>
          <w:i/>
          <w:lang w:val="es-AR" w:eastAsia="es-AR" w:bidi="es-AR"/>
        </w:rPr>
        <w:t xml:space="preserve">cierta medida las exigencias del Código Procesal (…) cabe estimar que la </w:t>
      </w:r>
      <w:r>
        <w:rPr>
          <w:i/>
          <w:lang w:val="es-AR" w:eastAsia="es-AR" w:bidi="es-AR"/>
        </w:rPr>
        <w:t xml:space="preserve">carga procesal de fundar los agravios se satisface con el mínimo de técnica exigido por las normas procesales en materia recursiva</w:t>
      </w:r>
      <w:r>
        <w:rPr>
          <w:i/>
          <w:lang w:val="es-AR" w:eastAsia="es-AR" w:bidi="es-AR"/>
        </w:rPr>
        <w:t xml:space="preserve">”</w:t>
      </w:r>
      <w:r>
        <w:rPr>
          <w:lang w:val="es-AR" w:eastAsia="es-AR" w:bidi="es-AR"/>
        </w:rPr>
        <w:t xml:space="preserve"> (Loutayf Ranea, Roberto G., “El recurso ordinario de apelación en el proceso civil”, 2° Ed., </w:t>
      </w:r>
      <w:r>
        <w:rPr>
          <w:lang w:val="es-AR" w:eastAsia="es-AR" w:bidi="es-AR"/>
        </w:rPr>
        <w:t xml:space="preserve">Ed. Astrea, Bs. As., 2009, Tomo I. pág. 62 y jurisprudencia allí citada; esta </w:t>
      </w:r>
      <w:r>
        <w:rPr>
          <w:lang w:val="es-AR" w:eastAsia="es-AR" w:bidi="es-AR"/>
        </w:rPr>
        <w:t xml:space="preserve">Sala, causa n°58.439, “H.S.B.C. Bank Argentina S.A….”, causa n°57.474, “Bonachi…”, </w:t>
      </w:r>
      <w:r>
        <w:rPr>
          <w:lang w:val="es-AR" w:eastAsia="es-AR" w:bidi="es-AR"/>
        </w:rPr>
        <w:t xml:space="preserve">sent. del 23/4/14/, entre otras; esta Sala causa n°63.339, del </w:t>
      </w:r>
      <w:r>
        <w:rPr>
          <w:lang w:val="es-AR" w:eastAsia="es-AR" w:bidi="es-AR"/>
        </w:rPr>
        <w:t xml:space="preserve">8/2018, “Creditia…”)" (Cámara de Apelaciones en lo Civil y comercial de Azul, </w:t>
      </w:r>
      <w:r>
        <w:rPr>
          <w:lang w:val="es-AR" w:eastAsia="es-AR" w:bidi="es-AR"/>
        </w:rPr>
        <w:t xml:space="preserve">"N. M. E. C/ L. R. O. Y OTROS S/DAÑOS Y PERJ. DEL./CUAS. (EXC. USO AUT. Y ESTADO)", Causa nº: 2-62974-2018, 11/09/2018).</w:t>
      </w:r>
    </w:p>
    <w:p>
      <w:pPr>
        <w:pStyle w:val="[Normal]"/>
        <w:spacing w:line="480" w:lineRule="auto"/>
        <w:ind w:firstLine="1134"/>
        <w:jc w:val="both"/>
        <w:rPr>
          <w:lang w:val="es-AR" w:eastAsia="es-AR" w:bidi="es-AR"/>
        </w:rPr>
      </w:pPr>
      <w:r>
        <w:rPr>
          <w:lang w:val="es-AR" w:eastAsia="es-AR" w:bidi="es-AR"/>
        </w:rPr>
        <w:t xml:space="preserve">Precisamente en tal medida procederé a la apertura de la instancia recursiva limitándome a la consideración de aquella parte de la crítica que satisface el mínimo de técnica exigida por las normas procesales.</w:t>
      </w:r>
    </w:p>
    <w:p>
      <w:pPr>
        <w:pStyle w:val="[Normal]"/>
        <w:spacing w:line="480" w:lineRule="auto"/>
        <w:ind w:firstLine="1134"/>
        <w:jc w:val="both"/>
        <w:rPr>
          <w:lang w:val="es-AR" w:eastAsia="es-AR" w:bidi="es-AR"/>
        </w:rPr>
      </w:pPr>
      <w:r>
        <w:rPr>
          <w:lang w:val="es-AR" w:eastAsia="es-AR" w:bidi="es-AR"/>
        </w:rPr>
        <w:t xml:space="preserve">Por razones metodológicas, me abocaré al agravio relativo al rechazo </w:t>
      </w:r>
      <w:r>
        <w:rPr>
          <w:i/>
          <w:lang w:val="es-AR" w:eastAsia="es-AR" w:bidi="es-AR"/>
        </w:rPr>
        <w:t xml:space="preserve">in limine</w:t>
      </w:r>
      <w:r>
        <w:rPr>
          <w:lang w:val="es-AR" w:eastAsia="es-AR" w:bidi="es-AR"/>
        </w:rPr>
        <w:t xml:space="preserve"> de la acción, toda vez que el tratamiento de las restantes críticas formuladas por el apelante están subordinadas a la suerte de esta primera cuestión.</w:t>
      </w:r>
    </w:p>
    <w:p>
      <w:pPr>
        <w:pStyle w:val="[Normal]"/>
        <w:spacing w:line="480" w:lineRule="auto"/>
        <w:ind w:firstLine="1134"/>
        <w:jc w:val="both"/>
        <w:rPr>
          <w:lang w:val="es-AR" w:eastAsia="es-AR" w:bidi="es-AR"/>
        </w:rPr>
      </w:pPr>
      <w:r>
        <w:rPr>
          <w:lang w:val="es-AR" w:eastAsia="es-AR" w:bidi="es-AR"/>
        </w:rPr>
        <w:t xml:space="preserve">En tal sentido, adelantaré que el agravio expresado no puede prosperar.</w:t>
      </w:r>
    </w:p>
    <w:p>
      <w:pPr>
        <w:pStyle w:val="[Normal]"/>
        <w:spacing w:line="480" w:lineRule="auto"/>
        <w:ind w:firstLine="1134"/>
        <w:jc w:val="both"/>
        <w:rPr>
          <w:lang w:val="es-AR" w:eastAsia="es-AR" w:bidi="es-AR"/>
        </w:rPr>
      </w:pPr>
      <w:r>
        <w:rPr>
          <w:lang w:val="es-AR" w:eastAsia="es-AR" w:bidi="es-AR"/>
        </w:rPr>
        <w:t xml:space="preserve"> </w:t>
      </w:r>
      <w:r>
        <w:rPr>
          <w:lang w:val="es-AR" w:eastAsia="es-AR" w:bidi="es-AR"/>
        </w:rPr>
        <w:t xml:space="preserve">En primer término, cabe reafirmar la validez del fundamento decisorio que remite a la existencia de otras vías procesales aptas para canalizar adecuadamente la pretensión actoral, en la que -como atinadamente señala el juzgador- puede incluso obtenerse el dictado de la medida cautelar que se pretende, en el marco del citado ordenamiento ritual.</w:t>
      </w:r>
    </w:p>
    <w:p>
      <w:pPr>
        <w:pStyle w:val="[Normal]"/>
        <w:spacing w:line="480" w:lineRule="auto"/>
        <w:ind w:firstLine="1134"/>
        <w:jc w:val="both"/>
        <w:rPr>
          <w:lang w:val="es-AR" w:eastAsia="es-AR" w:bidi="es-AR"/>
        </w:rPr>
      </w:pPr>
      <w:r>
        <w:rPr>
          <w:lang w:val="es-AR" w:eastAsia="es-AR" w:bidi="es-AR"/>
        </w:rPr>
        <w:t xml:space="preserve">De manera que, frente a la existencia de otras vías procesales que permitan ventilar más ampliamente el derecho discutido como así también contemplen resortes precautorios específicos para atender a la situación de urgencia denunciada por el amparista (vgr. medida cautelar en proceso ordinario), queda en evidencia la inobservancia del requisito de </w:t>
      </w:r>
      <w:r>
        <w:rPr>
          <w:i/>
          <w:lang w:val="es-AR" w:eastAsia="es-AR" w:bidi="es-AR"/>
        </w:rPr>
        <w:t xml:space="preserve">"inexistencia de otra más idónea"</w:t>
      </w:r>
      <w:r>
        <w:rPr>
          <w:lang w:val="es-AR" w:eastAsia="es-AR" w:bidi="es-AR"/>
        </w:rPr>
        <w:t xml:space="preserve">. En este sentido, se observa un deficiente cumplimiento de la carga impugnativa del apelante en cuanto no ha invocado ni acreditado los motivos por los que otras vías con su respectivo elenco de alternativas cautelares no le posibilitarían una tutela más idónea a la aquí requerida o, dicho en términos positivos, que la necesidad de acudir a otra vía le ocasionaría un daño irreparable.</w:t>
      </w:r>
    </w:p>
    <w:p>
      <w:pPr>
        <w:pStyle w:val="[Normal]"/>
        <w:spacing w:line="480" w:lineRule="auto"/>
        <w:ind w:firstLine="1134"/>
        <w:jc w:val="both"/>
        <w:rPr>
          <w:lang w:val="es-AR" w:eastAsia="es-AR" w:bidi="es-AR"/>
        </w:rPr>
      </w:pPr>
      <w:r>
        <w:rPr>
          <w:lang w:val="es-AR" w:eastAsia="es-AR" w:bidi="es-AR"/>
        </w:rPr>
        <w:t xml:space="preserve">En esta tónica, la Corte Nacional ha sido categórica respecto a la parte sobre la que pesa la carga de probar que el medio elegido es el más apto. En tal sentido, se sostuvo que la carga de probar pesaba sobre el demandante. Si la parte no lo acredita, el juez deberá optar por una vía de mayor investigación en la seguridad que será ésta la que resultará más idónea para la protección de los derechos aparentemente vulnerados (CSJN, 7 de Mayo de 1996, L.L., 1998-C-574).</w:t>
      </w:r>
    </w:p>
    <w:p>
      <w:pPr>
        <w:pStyle w:val="[Normal]"/>
        <w:spacing w:line="480" w:lineRule="auto"/>
        <w:ind w:firstLine="1134"/>
        <w:jc w:val="both"/>
        <w:rPr>
          <w:lang w:val="es-AR" w:eastAsia="es-AR" w:bidi="es-AR"/>
        </w:rPr>
      </w:pPr>
      <w:r>
        <w:rPr>
          <w:lang w:val="es-AR" w:eastAsia="es-AR" w:bidi="es-AR"/>
        </w:rPr>
        <w:t xml:space="preserve">Debe tenerse en cuenta en este aspecto que, si bien es cierto que los procesos de conocimiento implican una gran lentitud en el esperado resultado de brindar la tutela jurisdiccional al justiciable, no puede ser éste el único argumento para sostener la admisión de la acción de amparo. Al decir de Díaz, </w:t>
      </w:r>
      <w:r>
        <w:rPr>
          <w:i/>
          <w:lang w:val="es-AR" w:eastAsia="es-AR" w:bidi="es-AR"/>
        </w:rPr>
        <w:t xml:space="preserve">"de otro modo, se caería en el absurdo de sostener que la regla es el amparo y la excepción es el juicio de conocimiento. En efecto, dado que todos los bienes jurídicos que deben protegerse y resguardarse por parte del Estado tienen su fundamento en alguna garantía consagrada en la Constitución, cabría concluir que la única vía idónea es el amparo" </w:t>
      </w:r>
      <w:r>
        <w:rPr>
          <w:lang w:val="es-AR" w:eastAsia="es-AR" w:bidi="es-AR"/>
        </w:rPr>
        <w:t xml:space="preserve">(DÍAZ, Silvia Adriana, Acción de Amparo, Buenos Aires, La Ley, 2001, pag. 159).</w:t>
      </w:r>
    </w:p>
    <w:p>
      <w:pPr>
        <w:pStyle w:val="[Normal]"/>
        <w:spacing w:line="480" w:lineRule="auto"/>
        <w:ind w:firstLine="1134"/>
        <w:jc w:val="both"/>
        <w:rPr>
          <w:lang w:val="es-AR" w:eastAsia="es-AR" w:bidi="es-AR"/>
        </w:rPr>
      </w:pPr>
      <w:r>
        <w:rPr>
          <w:lang w:val="es-AR" w:eastAsia="es-AR" w:bidi="es-AR"/>
        </w:rPr>
        <w:t xml:space="preserve">Con todo, entiendo que la razón que mejor sustenta el rechazo de la presente acción radica en la ausencia de otro de los requisitos esenciales para la habilitación de la vía procesal del amparo, cuál es la arbitrariedad o ilegalidad del acto corporativo contra el que se dirige el amparista. </w:t>
      </w:r>
    </w:p>
    <w:p>
      <w:pPr>
        <w:pStyle w:val="[Normal]"/>
        <w:spacing w:line="480" w:lineRule="auto"/>
        <w:ind w:firstLine="1134"/>
        <w:jc w:val="both"/>
        <w:rPr>
          <w:lang w:val="es-AR" w:eastAsia="es-AR" w:bidi="es-AR"/>
        </w:rPr>
      </w:pPr>
      <w:r>
        <w:rPr>
          <w:lang w:val="es-AR" w:eastAsia="es-AR" w:bidi="es-AR"/>
        </w:rPr>
        <w:t xml:space="preserve">Tal carácter del acto lesivo debe evidenciarse en forma manifiesta, o sea de un modo descubierto, claro, palmario, notorio. De modo que la exteriorización que no revista esa indiscutible ostensibilidad y que -en todo caso- pueda resultar meramente opinable, excluye el carácter manifiesto de la arbitrariedad o ilegalidad.</w:t>
      </w:r>
    </w:p>
    <w:p>
      <w:pPr>
        <w:pStyle w:val="[Normal]"/>
        <w:spacing w:line="480" w:lineRule="auto"/>
        <w:ind w:firstLine="1134"/>
        <w:jc w:val="both"/>
        <w:rPr>
          <w:lang w:val="es-AR" w:eastAsia="es-AR" w:bidi="es-AR"/>
        </w:rPr>
      </w:pPr>
      <w:r>
        <w:rPr>
          <w:lang w:val="es-AR" w:eastAsia="es-AR" w:bidi="es-AR"/>
        </w:rPr>
        <w:t xml:space="preserve">Al respecto, surge del propio escrito introductorio que el actor cuestiona lo decidido por el Consejo Directivo de Femeba con fecha 16 de enero de 2018 -y confirmado por la Asamblea Extraordinaria celebrada en fecha 25 de Agosto de 2018- en cuanto dispuso: </w:t>
      </w:r>
      <w:r>
        <w:rPr>
          <w:i/>
          <w:lang w:val="es-AR" w:eastAsia="es-AR" w:bidi="es-AR"/>
        </w:rPr>
        <w:t xml:space="preserve">"1. Suspender del listado de prestadores de Femeba a los doctores Juan Marchuetta (MP 62.451) y Cristina D´Alessandro (MP 440.756) inscripto en el Círculo dMédico de Colón, por un período de dos (2) años"</w:t>
      </w:r>
      <w:r>
        <w:rPr>
          <w:lang w:val="es-AR" w:eastAsia="es-AR" w:bidi="es-AR"/>
        </w:rPr>
        <w:t xml:space="preserve">.</w:t>
      </w:r>
    </w:p>
    <w:p>
      <w:pPr>
        <w:pStyle w:val="[Normal]"/>
        <w:spacing w:line="480" w:lineRule="auto"/>
        <w:ind w:firstLine="1134"/>
        <w:jc w:val="both"/>
        <w:rPr>
          <w:lang w:val="es-AR" w:eastAsia="es-AR" w:bidi="es-AR"/>
        </w:rPr>
      </w:pPr>
      <w:r>
        <w:rPr>
          <w:lang w:val="es-AR" w:eastAsia="es-AR" w:bidi="es-AR"/>
        </w:rPr>
        <w:t xml:space="preserve">Tiene dicho esta Cámara en la causa n° 353 caratulada </w:t>
      </w:r>
      <w:r>
        <w:rPr>
          <w:i/>
          <w:lang w:val="es-AR" w:eastAsia="es-AR" w:bidi="es-AR"/>
        </w:rPr>
        <w:t xml:space="preserve">"MIGLIARIO, Antonio Raúl c/ Federación Médica de la Pcia. de Buenos Aires s/ Amparo (10)"</w:t>
      </w:r>
      <w:r>
        <w:rPr>
          <w:lang w:val="es-AR" w:eastAsia="es-AR" w:bidi="es-AR"/>
        </w:rPr>
        <w:t xml:space="preserve">, de fecha 11 de Noviembre de 2009, que con relación a las decisiones corporativas </w:t>
      </w:r>
      <w:r>
        <w:rPr>
          <w:i/>
          <w:lang w:val="es-AR" w:eastAsia="es-AR" w:bidi="es-AR"/>
        </w:rPr>
        <w:t xml:space="preserve">"su interpretación debe atenerse a las previsiones del estatuto que rige a la persona jurídica de que se trate, instrumento éste ´cuyas estipulaciones gobiernan la vida de la asociación, determinan su organización y estructura interna, siendo ellas de innegable raigambre contractual (Conf. CAP expte. 2217/97)´ (...) Se ha señalado en el Código Civil anotado por Jorge J Llambías que ´la asociación se asemeja a la corporación persona jurídica, por la soberanía de la asamblea de sus miembros y el predominio del principio mayoritario, por la existencia de una comisión directiva subordinada a las prescripciones de los estatutos que la asamblea pueda modificar, y que los estatutos son la ley primordial de los derechos de los asociados´ (Conf. autor y obra citados, T.I., pags. 80 y 101)".</w:t>
      </w:r>
    </w:p>
    <w:p>
      <w:pPr>
        <w:pStyle w:val="[Normal]"/>
        <w:spacing w:line="480" w:lineRule="auto"/>
        <w:ind w:firstLine="1134"/>
        <w:jc w:val="both"/>
        <w:rPr>
          <w:lang w:val="es-AR" w:eastAsia="es-AR" w:bidi="es-AR"/>
        </w:rPr>
      </w:pPr>
      <w:r>
        <w:rPr>
          <w:lang w:val="es-AR" w:eastAsia="es-AR" w:bidi="es-AR"/>
        </w:rPr>
        <w:t xml:space="preserve">En este contexto, es dable referir que la Federación Médica de la Provincia de Buenos Aires (FEMEBA) es una Entidad Civil sin fines de lucro y afiliación voluntaria de segundo grado, con Personería Jurídica otorgada por los Decretos 13049/45 y 7015/61. Nuclea a 111 Entidades Primarias con ámbito en 119 de los 135 municipios de la provincia de Buenos Aires (http://www.femeba.org.ar/institucion).</w:t>
      </w:r>
    </w:p>
    <w:p>
      <w:pPr>
        <w:pStyle w:val="[Normal]"/>
        <w:spacing w:line="480" w:lineRule="auto"/>
        <w:ind w:firstLine="1134"/>
        <w:jc w:val="both"/>
        <w:rPr>
          <w:lang w:val="es-AR" w:eastAsia="es-AR" w:bidi="es-AR"/>
        </w:rPr>
      </w:pPr>
      <w:r>
        <w:rPr>
          <w:lang w:val="es-AR" w:eastAsia="es-AR" w:bidi="es-AR"/>
        </w:rPr>
        <w:t xml:space="preserve">El decreto 13049 en su art. 1 dispone: </w:t>
      </w:r>
      <w:r>
        <w:rPr>
          <w:i/>
          <w:lang w:val="es-AR" w:eastAsia="es-AR" w:bidi="es-AR"/>
        </w:rPr>
        <w:t xml:space="preserve">"ARTÍCULO 1.- Apruébase el estatuto acompañado por la Sociedad Civil, ´Federación Médica de la Provincia de Buenos Aires´, con domicilio  legal en esta ciudad, en la forma que aparece transcripto en el testimonio de acta corriente de fojas 4 a fojas 13 inclusive del presente"</w:t>
      </w:r>
      <w:r>
        <w:rPr>
          <w:lang w:val="es-AR" w:eastAsia="es-AR" w:bidi="es-AR"/>
        </w:rPr>
        <w:t xml:space="preserve">. En tanto que su art. 2 le confiere entidad jurídica a la nombrada sociedad: </w:t>
      </w:r>
      <w:r>
        <w:rPr>
          <w:i/>
          <w:lang w:val="es-AR" w:eastAsia="es-AR" w:bidi="es-AR"/>
        </w:rPr>
        <w:t xml:space="preserve">"Acuérdasele, al propio tiempo, la personería jurídica que tiene solicitada en virtud de aparecer cumplimentados los extremos señalados por el artículo 33, inciso 5º, del Código Civil"</w:t>
      </w:r>
      <w:r>
        <w:rPr>
          <w:lang w:val="es-AR" w:eastAsia="es-AR" w:bidi="es-AR"/>
        </w:rPr>
        <w:t xml:space="preserve">. En tanto que el Decreto 7015/61, en su art. 1, resuelve aprobar: </w:t>
      </w:r>
      <w:r>
        <w:rPr>
          <w:i/>
          <w:lang w:val="es-AR" w:eastAsia="es-AR" w:bidi="es-AR"/>
        </w:rPr>
        <w:t xml:space="preserve">"el nuevo estatuto presentado por la entidad denominada FEDERACIÓN MEDICA DE LA PROVINCIA DE BUENOS AIRES, con domicilio legal en la ciudad de La Plata, partido del mismo nombre, según texto que obra inserto de fojas 31 a fojas 39 vuelta del expediente 2215-1464/961"</w:t>
      </w:r>
      <w:r>
        <w:rPr>
          <w:lang w:val="es-AR" w:eastAsia="es-AR" w:bidi="es-AR"/>
        </w:rPr>
        <w:t xml:space="preserve">.</w:t>
      </w:r>
    </w:p>
    <w:p>
      <w:pPr>
        <w:pStyle w:val="[Normal]"/>
        <w:spacing w:line="480" w:lineRule="auto"/>
        <w:ind w:firstLine="1134"/>
        <w:jc w:val="both"/>
        <w:rPr>
          <w:lang w:val="es-AR" w:eastAsia="es-AR" w:bidi="es-AR"/>
        </w:rPr>
      </w:pPr>
      <w:r>
        <w:rPr>
          <w:lang w:val="es-AR" w:eastAsia="es-AR" w:bidi="es-AR"/>
        </w:rPr>
        <w:t xml:space="preserve">En cuanto al marco reglamentario aplicable a las relaciones jurídica entre FEMEBA y los prestadores médicos que integran el listado oficial, se erige como fuente normativa especial el Contrato de Adhesión al Listado de Prestadores" -cuya copia obra a fs. 16/21-. En lo que aquí resulta pertinente, cabe reseñar que la cláusula sexta del mentado instrumento prevé que: </w:t>
      </w:r>
      <w:r>
        <w:rPr>
          <w:i/>
          <w:lang w:val="es-AR" w:eastAsia="es-AR" w:bidi="es-AR"/>
        </w:rPr>
        <w:t xml:space="preserve">"´EL PROFESIONAL´ acepta conocer, se compromete a respetar las normas y consiente que el incumplimiento de las mismas, sea potencial motivo de rescisión causada de la relación contractual existente"</w:t>
      </w:r>
      <w:r>
        <w:rPr>
          <w:lang w:val="es-AR" w:eastAsia="es-AR" w:bidi="es-AR"/>
        </w:rPr>
        <w:t xml:space="preserve">. De ello se sigue que la eventual inobservancia de los deberes jurídicos exigibles por parte del prestador de salud puede legítimamente afectar la vigencia de la relación contractual entre las partes.</w:t>
      </w:r>
    </w:p>
    <w:p>
      <w:pPr>
        <w:pStyle w:val="[Normal]"/>
        <w:spacing w:line="480" w:lineRule="auto"/>
        <w:ind w:firstLine="1134"/>
        <w:jc w:val="both"/>
        <w:rPr>
          <w:lang w:val="es-AR" w:eastAsia="es-AR" w:bidi="es-AR"/>
        </w:rPr>
      </w:pPr>
      <w:r>
        <w:rPr>
          <w:lang w:val="es-AR" w:eastAsia="es-AR" w:bidi="es-AR"/>
        </w:rPr>
        <w:t xml:space="preserve">También reviste relevancia la cláusula décimo tercera en cuanto estipula que: </w:t>
      </w:r>
      <w:r>
        <w:rPr>
          <w:i/>
          <w:lang w:val="es-AR" w:eastAsia="es-AR" w:bidi="es-AR"/>
        </w:rPr>
        <w:t xml:space="preserve">"FEMEBA podrá realizar en terreno las auditorías necesarias para evaluar el cumplimiento, la calidad y cantidad de las prestaciones comprometidas"</w:t>
      </w:r>
      <w:r>
        <w:rPr>
          <w:lang w:val="es-AR" w:eastAsia="es-AR" w:bidi="es-AR"/>
        </w:rPr>
        <w:t xml:space="preserve">. Del presente extracto puede inferirse que las diligencias llevadas a cabo por la entidad de salud según surge de informe de auditoría obrante a fs. 31/36 (vgr. consulta a afiliados atendidos por los Dres. auditados, examen de documentación relativa a las consultas ambulatorias realizadas por los prestadores, etc)  se halla amparada en el ejercicio de las facultades de control asignadas a Femeba conforme se desprende del contrato de adhesión aquí referido.</w:t>
      </w:r>
    </w:p>
    <w:p>
      <w:pPr>
        <w:pStyle w:val="[Normal]"/>
        <w:spacing w:line="480" w:lineRule="auto"/>
        <w:ind w:firstLine="1134"/>
        <w:jc w:val="both"/>
        <w:rPr>
          <w:lang w:val="es-AR" w:eastAsia="es-AR" w:bidi="es-AR"/>
        </w:rPr>
      </w:pPr>
      <w:r>
        <w:rPr>
          <w:lang w:val="es-AR" w:eastAsia="es-AR" w:bidi="es-AR"/>
        </w:rPr>
        <w:t xml:space="preserve">Finalmente, y en lo que concierne específicamente al acto cuestionado mediante el presente amparo, es dable traer a colación lo previsto por la cláusula décimo séptima: </w:t>
      </w:r>
      <w:r>
        <w:rPr>
          <w:i/>
          <w:lang w:val="es-AR" w:eastAsia="es-AR" w:bidi="es-AR"/>
        </w:rPr>
        <w:t xml:space="preserve">"En caso de incumplimiento por parte  de ´El profesional´ de cualquiera de las obligaciones asumidas en el presente y/o  en el Reglamento adjunto identificado como ANEXO I, FEMEBA podrá en todos los casos, preventivamente, retener y/o rechazar la facturación, como así también, el pago de la misma... Asimismo, y en caso de constatarse una falta o irregularidad, podrá imponer una de las siguientes sanciones: ... c) Excluirlo transitoriamente del listado de prestadores"</w:t>
      </w:r>
      <w:r>
        <w:rPr>
          <w:lang w:val="es-AR" w:eastAsia="es-AR" w:bidi="es-AR"/>
        </w:rPr>
        <w:t xml:space="preserve">. A partir de ello, puedo advertir que la sanción aplicada aparece justificada </w:t>
      </w:r>
      <w:r>
        <w:rPr>
          <w:i/>
          <w:lang w:val="es-AR" w:eastAsia="es-AR" w:bidi="es-AR"/>
        </w:rPr>
        <w:t xml:space="preserve">a priori</w:t>
      </w:r>
      <w:r>
        <w:rPr>
          <w:lang w:val="es-AR" w:eastAsia="es-AR" w:bidi="es-AR"/>
        </w:rPr>
        <w:t xml:space="preserve"> como una opción punitiva regulada en el contrato que rige las relaciones jurídicas entre las partes</w:t>
      </w:r>
    </w:p>
    <w:p>
      <w:pPr>
        <w:pStyle w:val="[Normal]"/>
        <w:spacing w:line="480" w:lineRule="auto"/>
        <w:ind w:firstLine="1134"/>
        <w:jc w:val="both"/>
        <w:rPr>
          <w:lang w:val="es-AR" w:eastAsia="es-AR" w:bidi="es-AR"/>
        </w:rPr>
      </w:pPr>
      <w:r>
        <w:rPr>
          <w:lang w:val="es-AR" w:eastAsia="es-AR" w:bidi="es-AR"/>
        </w:rPr>
        <w:t xml:space="preserve">En lo relativo al ámbito disciplinario interno de los profesionales médicos que integran el listado de FEMEBA, deviene aplicable el Anexo I: "REGLAMENTO DE CALIDAD Y CONDUCTA PRESTACIONAL" -obrante a fs. 11/15 y 22/27- de cuyo tenor surge que </w:t>
      </w:r>
      <w:r>
        <w:rPr>
          <w:i/>
          <w:lang w:val="es-AR" w:eastAsia="es-AR" w:bidi="es-AR"/>
        </w:rPr>
        <w:t xml:space="preserve">"la conducta prestacional del médico no constituye una buena y adecuada práctica médica y por ende será considerada como un incumplimiento de contrato que une al médico con FEMEBA, en los siguientes supuestos: (...) i) Facturar servicios que no fueron efectivamente prestados"</w:t>
      </w:r>
      <w:r>
        <w:rPr>
          <w:lang w:val="es-AR" w:eastAsia="es-AR" w:bidi="es-AR"/>
        </w:rPr>
        <w:t xml:space="preserve">. </w:t>
      </w:r>
    </w:p>
    <w:p>
      <w:pPr>
        <w:pStyle w:val="[Normal]"/>
        <w:spacing w:line="480" w:lineRule="auto"/>
        <w:ind w:firstLine="1134"/>
        <w:jc w:val="both"/>
        <w:rPr>
          <w:lang w:val="es-AR" w:eastAsia="es-AR" w:bidi="es-AR"/>
        </w:rPr>
      </w:pPr>
      <w:r>
        <w:rPr>
          <w:lang w:val="es-AR" w:eastAsia="es-AR" w:bidi="es-AR"/>
        </w:rPr>
        <w:t xml:space="preserve">De modo que el acto investigado por la entidad médica se halla claramente tipificado por la mentada fuente reglamentaria y, en tal sentido, existe suficiente sustento normativo para evaluar el eventual incumplimiento de los profesionales médicos, desarrollar tareas de auditoría, producir prueba y, de comprobarse la irregularidad aludida, aplicar la sanción correspondiente.</w:t>
      </w:r>
    </w:p>
    <w:p>
      <w:pPr>
        <w:pStyle w:val="[Normal]"/>
        <w:spacing w:line="480" w:lineRule="auto"/>
        <w:ind w:firstLine="1134"/>
        <w:jc w:val="both"/>
        <w:rPr>
          <w:lang w:val="es-AR" w:eastAsia="es-AR" w:bidi="es-AR"/>
        </w:rPr>
      </w:pPr>
      <w:r>
        <w:rPr>
          <w:lang w:val="es-AR" w:eastAsia="es-AR" w:bidi="es-AR"/>
        </w:rPr>
        <w:t xml:space="preserve">Consecuentemente, el art. 5 del Anexo III reglamenta el modo en que habrá de ser ejercido el derecho de defensa de los profesionales médicos respecto a los cuales se haya abierto un procedimiento administrativo sumarial:</w:t>
      </w:r>
      <w:r>
        <w:rPr>
          <w:i/>
          <w:lang w:val="es-AR" w:eastAsia="es-AR" w:bidi="es-AR"/>
        </w:rPr>
        <w:t xml:space="preserve"> "se lo invitará a formular descargo por escrito y presentar prueba exclusivamente documental y hasta 5 (cinco) testigos..."</w:t>
      </w:r>
      <w:r>
        <w:rPr>
          <w:lang w:val="es-AR" w:eastAsia="es-AR" w:bidi="es-AR"/>
        </w:rPr>
        <w:t xml:space="preserve">. Asimismo, el art. 7 del mismo Anexo prevé la celebración de una </w:t>
      </w:r>
      <w:r>
        <w:rPr>
          <w:i/>
          <w:lang w:val="es-AR" w:eastAsia="es-AR" w:bidi="es-AR"/>
        </w:rPr>
        <w:t xml:space="preserve">"audiencia informativa... que se llevará a cabo a los fines de resguardar la defensa del denunciado"</w:t>
      </w:r>
      <w:r>
        <w:rPr>
          <w:lang w:val="es-AR" w:eastAsia="es-AR" w:bidi="es-AR"/>
        </w:rPr>
        <w:t xml:space="preserve">. A resultas de la comunicación obrante a fs. 30 y 62, ha quedado constancia de que el actor fue citado en el marco del mentado procedimiento.</w:t>
      </w:r>
    </w:p>
    <w:p>
      <w:pPr>
        <w:pStyle w:val="[Normal]"/>
        <w:spacing w:line="480" w:lineRule="auto"/>
        <w:ind w:firstLine="1134"/>
        <w:jc w:val="both"/>
        <w:rPr>
          <w:lang w:val="es-AR" w:eastAsia="es-AR" w:bidi="es-AR"/>
        </w:rPr>
      </w:pPr>
      <w:r>
        <w:rPr>
          <w:lang w:val="es-AR" w:eastAsia="es-AR" w:bidi="es-AR"/>
        </w:rPr>
        <w:t xml:space="preserve">En virtud de lo expuesto, entiendo que dado que la decisión sancionatoria ha sido adoptada por la mayoría de las asociados en el marco de un procedimiento establecido válidamente y en ejercicio de potestades que no se han discutidas, no puede tacharse a la misma como manifiestamente arbitraria.</w:t>
      </w:r>
    </w:p>
    <w:p>
      <w:pPr>
        <w:pStyle w:val="[Normal]"/>
        <w:spacing w:line="480" w:lineRule="auto"/>
        <w:ind w:firstLine="1134"/>
        <w:jc w:val="both"/>
        <w:rPr>
          <w:lang w:val="es-AR" w:eastAsia="es-AR" w:bidi="es-AR"/>
        </w:rPr>
      </w:pPr>
      <w:r>
        <w:rPr>
          <w:lang w:val="es-AR" w:eastAsia="es-AR" w:bidi="es-AR"/>
        </w:rPr>
        <w:t xml:space="preserve">No empece a lo anterior que los fundamentos aportados por el informe de auditoría obrante a fs. 31/36 de estas actuaciones, y que han servido como basamento de la resolución suspensiva emanada de la Comisión de Sumarios -ver fs. 76/77- y ulteriormente aprobado por la Asamblea Extraordinaria de FEMEBA  -ver fs. 76/77 y 78/80- puedan resultar controvertidos o, por lo menos, opinables. Más de ello no se sigue la admisión de la acción intentada, sino más bien la necesidad de que toda discusión que pueda originarse al respecto deba ser canalizada a a través de un proceso de conocimiento pleno que permita conocer a fondo si la sanción aplicada a los amparistas encuentra suficiente y razonable sustento en el procedimiento administrativo sumarial que culminó con la decisión asamblearia sancionatoria. Circunstancia ésta última que requiere evaluar con amplitud y profundidad los diversos elementos probatorios que fueron tenidos en cuenta para arribar a tal conclusión, la regularidad de su producción, el debido resguardo del derecho de defensa de las partes allende el cumplimiento de los pasos formalmente establecidos por el Contrato de Adhesión vigente entre la entidad de salud y los profesionales sancionados, etc. A las claras, la faena descrita excede el limitado ámbito de conocimiento del presente, dejando al descubierto la inidoneidad de la vía intentada.</w:t>
      </w:r>
    </w:p>
    <w:p>
      <w:pPr>
        <w:pStyle w:val="[Normal]"/>
        <w:spacing w:line="480" w:lineRule="auto"/>
        <w:ind w:firstLine="1134"/>
        <w:jc w:val="both"/>
        <w:rPr>
          <w:lang w:val="es-AR" w:eastAsia="es-AR" w:bidi="es-AR"/>
        </w:rPr>
      </w:pPr>
      <w:r>
        <w:rPr>
          <w:lang w:val="es-AR" w:eastAsia="es-AR" w:bidi="es-AR"/>
        </w:rPr>
        <w:t xml:space="preserve">El temperamento propuesto sigue las líneas que, en esta materia, ha fijado la Casación provincial al vincular la procedencia de una acción de amparo a la exigencia de que la arbitrariedad o ilegalidad del acto contra la que aquélla se dirige deben evidenciarse en forma manifiesta, o sea de un modo descubierto, patente, claro, ostensible, palmario, notorio. La exteriorización que no revista esa indiscutible patencia y que en todo caso pueda resultar meramente opinable excluye el carácter manifiesto de la arbitrariedad o ilegabilidad y por ende la viabilidad del amparo. (conf. causa B. 59.168, sent. 16II1999 en "D.J.B.A.", 156, 137), lo cual implica que aquellos vicios tienen que aparecer visibles al examen jurídico más superficial, con lo queda claro que la nota fundamental de este instituto no está dada propiamente por la inexistencia de discusión en torno al derecho invocado por el impetrante, sino por la indiscutibilidad de la pretensión enjuiciada.-	</w:t>
      </w:r>
    </w:p>
    <w:p>
      <w:pPr>
        <w:pStyle w:val="[Normal]"/>
        <w:spacing w:line="480" w:lineRule="auto"/>
        <w:ind w:firstLine="1134"/>
        <w:jc w:val="both"/>
        <w:rPr>
          <w:lang w:val="es-AR" w:eastAsia="es-AR" w:bidi="es-AR"/>
        </w:rPr>
      </w:pPr>
      <w:r>
        <w:rPr>
          <w:lang w:val="es-AR" w:eastAsia="es-AR" w:bidi="es-AR"/>
        </w:rPr>
        <w:t xml:space="preserve">Sobre el punto, la Sala E de la Cámara Nacional Civil ha sostenido que: </w:t>
      </w:r>
      <w:r>
        <w:rPr>
          <w:i/>
          <w:lang w:val="es-AR" w:eastAsia="es-AR" w:bidi="es-AR"/>
        </w:rPr>
        <w:t xml:space="preserve">"el hecho de que la arbitrariedad o ilegalidad no sea manifiesta, determina que el juez debe acudir a un proceso de mayor debate y prueba, habiéndose sostenido que si la cuestión amerita un mayor grado de conocimiento con el que debe contar el órgano jurisdiccional en materia que trasunta evidente complejidad, el rechazo de la pretensión deviene como única solución"</w:t>
      </w:r>
      <w:r>
        <w:rPr>
          <w:lang w:val="es-AR" w:eastAsia="es-AR" w:bidi="es-AR"/>
        </w:rPr>
        <w:t xml:space="preserve"> (C.N. Civ. , Sala E, 23 de junio de 1998, R. 248.425; conf. C.N. Civil, Sala E, c. 197.122 del 11 de junio de 1996.</w:t>
      </w:r>
    </w:p>
    <w:p>
      <w:pPr>
        <w:pStyle w:val="[Normal]"/>
        <w:spacing w:line="480" w:lineRule="auto"/>
        <w:ind w:firstLine="1134"/>
        <w:jc w:val="both"/>
        <w:rPr>
          <w:lang w:val="es-AR" w:eastAsia="es-AR" w:bidi="es-AR"/>
        </w:rPr>
      </w:pPr>
      <w:r>
        <w:rPr>
          <w:lang w:val="es-AR" w:eastAsia="es-AR" w:bidi="es-AR"/>
        </w:rPr>
        <w:t xml:space="preserve">De la propia lectura de la demanda y, particularmente, de la cuestiones jurídicas traídas a colación por parte del amparista queda patentizado que la dilucidación del caso requiere una instancia de mayor debate y prueba. En efecto, el apelante no plantea un incumplimiento absoluto de su derecho de defensa -habida cuenta de que admite el desarrollo de un procedimiento administrativo sumarial dentro del cual fue notificado y hasta tuvo oportunidad de formular un descargo y producir prueba-, sino que denuncia más bien un cumplimiento defectuoso de esta garantía basada en la existencia de presuntas irregularidades en el devenir de aquél. A saber: falta de notificación de acta de denuncia de las supuestas infracciones que motivaron el sumario, aplicación de una tasa promedio de atención a los profesionales médicos que no se condice con el volumen de trabajo real desarrollado por éstos, incorrecta valoración de la prueba testimonial producida en la instancia administrativa, etc. </w:t>
      </w:r>
    </w:p>
    <w:p>
      <w:pPr>
        <w:pStyle w:val="[Normal]"/>
        <w:spacing w:line="480" w:lineRule="auto"/>
        <w:ind w:firstLine="1134"/>
        <w:jc w:val="both"/>
        <w:rPr>
          <w:lang w:val="es-AR" w:eastAsia="es-AR" w:bidi="es-AR"/>
        </w:rPr>
      </w:pPr>
      <w:r>
        <w:rPr>
          <w:lang w:val="es-AR" w:eastAsia="es-AR" w:bidi="es-AR"/>
        </w:rPr>
        <w:t xml:space="preserve">La determinación de estas presuntas irregularidades requiere, pues, un amplio marco procesal para su eventual comprobación judicial, toda vez que se relacionan con cuestiones de hecho no evidentes y de cierta complejidad cuyo esclarecimiento exige mayor análisis, investigación y prueba. A modo de ejemplo, y en relación a la referencia promedio de atención como base comparativa, el propio actor pone de relieve la necesidad de detallar las medias estadísticas a los fines de explicar el por qué del excedente. En otras palabras, reconoce que para la debida dilucidación del caso es preciso ingresar en un plano de análisis que trasciende el estrecho marco cognoscitivo de un proceso rápido y acotado como el amparo.</w:t>
      </w:r>
    </w:p>
    <w:p>
      <w:pPr>
        <w:pStyle w:val="[Normal]"/>
        <w:spacing w:line="480" w:lineRule="auto"/>
        <w:ind w:firstLine="1134"/>
        <w:jc w:val="both"/>
        <w:rPr>
          <w:lang w:val="es-AR" w:eastAsia="es-AR" w:bidi="es-AR"/>
        </w:rPr>
      </w:pPr>
      <w:r>
        <w:rPr>
          <w:lang w:val="es-AR" w:eastAsia="es-AR" w:bidi="es-AR"/>
        </w:rPr>
        <w:t xml:space="preserve">Finalmente, y aún en el hipotético caso de que se reputase que las irregularidades denunciadas resultan palmarias, no puedo dejar de referir que irregularidad no es sinónimo de nulidad. Toda nulidad importa una irregularidad, más no ocurre lo mismo a la inversa. Para que la irregularidad justifique la sanción legal de nulidad y prive a un acto, procedimiento o resolución de sus efectos propios es preciso, entre otras condiciones, que el vicio afecte uno de sus elementos estructurales y que la irregularidad devenga en un perjuicio concreto para el apelante. Tal constatación exige un esfuerzo argumentativo y probatorio adicional que en principio excede el cauce natural del proceso de amparo. 	</w:t>
        <w:br w:type="textWrapping"/>
      </w:r>
      <w:r>
        <w:rPr>
          <w:lang w:val="es-AR" w:eastAsia="es-AR" w:bidi="es-AR"/>
        </w:rPr>
        <w:t xml:space="preserve"> 	En este sentido, la jurisprudencia de nuestros tribunales provinciales tiene dicho que: </w:t>
      </w:r>
      <w:r>
        <w:rPr>
          <w:i/>
          <w:lang w:val="es-AR" w:eastAsia="es-AR" w:bidi="es-AR"/>
        </w:rPr>
        <w:t xml:space="preserve">"El principio de trascendencia requiere que quien invoca la nulidad alegue y demuestre (cargo específico) que el vicio le ocasionó un perjuicio cierto e irreparable, que no puede subsanarse sino con el acogimiento de la sanción y que no es suficiente la invocación genérica de haberse quebrantado las formas del juicio, debe existir agravios concretos y de entidad, porque el interés es el fundamento de la protección jurídica" </w:t>
      </w:r>
      <w:r>
        <w:rPr>
          <w:lang w:val="es-AR" w:eastAsia="es-AR" w:bidi="es-AR"/>
        </w:rPr>
        <w:t xml:space="preserve">(CC0203 LP 123330 RSI 59/18 I 21/03/2018 Juez SOTO (SD) Carátula: "Daca Gladys Angelica C/ Serena Marcelo Federico Y Otro/A S/ Desalojo Falta De Pago").	 </w:t>
        <w:br w:type="textWrapping"/>
      </w:r>
      <w:r>
        <w:rPr>
          <w:lang w:val="es-AR" w:eastAsia="es-AR" w:bidi="es-AR"/>
        </w:rPr>
        <w:t xml:space="preserve"> 	En síntesis, la arbitrariedad e ilegalidad tiene que resultar de manera visible, manifiesta; es decir, en forma clara, patente, indudable, inequívoca, notoria, ostensible, para no hacer del amparo el </w:t>
      </w:r>
      <w:r>
        <w:rPr>
          <w:i/>
          <w:lang w:val="es-AR" w:eastAsia="es-AR" w:bidi="es-AR"/>
        </w:rPr>
        <w:t xml:space="preserve">vademecum</w:t>
      </w:r>
      <w:r>
        <w:rPr>
          <w:lang w:val="es-AR" w:eastAsia="es-AR" w:bidi="es-AR"/>
        </w:rPr>
        <w:t xml:space="preserve"> que solucione todos los problemas, subsumiendo las vías procesales en solo una, cuando la Constitución y las leyes marcan distintos derroteros. El amparo es una herramienta útil, pero no para cualquier situación (conf. causa B. 58.002, sent. del 6-X-1998).-	</w:t>
        <w:br w:type="textWrapping"/>
      </w:r>
      <w:r>
        <w:rPr>
          <w:lang w:val="es-AR" w:eastAsia="es-AR" w:bidi="es-AR"/>
        </w:rPr>
        <w:t xml:space="preserve"> 	Al respecto, mientras la ilegalidad puede describirse a través de preceptos legislativos que se omiten aplicar o se interpretan mal, la arbitrariedad exhibe un juicio especialmente negativo frente a las normas. La ilegalidad desconoce o aplica erróneamente la regla jurídica que corresponde, mientras que la arbitrariedad es la manifestación abierta y caprichosa sin principios jurídicos (Conf. SCBA, Ac. 75.817, Sent. 11-9-2002, Fentanes, José R. y otro contra Caja Compensadora de la Asociación Médica Pergamino. Amparo").-	</w:t>
      </w:r>
    </w:p>
    <w:p>
      <w:pPr>
        <w:pStyle w:val="[Normal]"/>
        <w:spacing w:line="480" w:lineRule="auto"/>
        <w:ind w:firstLine="1134"/>
        <w:jc w:val="both"/>
        <w:rPr>
          <w:lang w:val="es-AR" w:eastAsia="es-AR" w:bidi="es-AR"/>
        </w:rPr>
      </w:pPr>
      <w:r>
        <w:rPr>
          <w:lang w:val="es-AR" w:eastAsia="es-AR" w:bidi="es-AR"/>
        </w:rPr>
        <w:t xml:space="preserve">Los fundamentos del voto me eximen de tratar los agravios relativos a la tácita desestimación de la medida cautelar innovativa y tasa de justicia, ello por cuanto el rechazo liminar de la acción determina la correlativa improponibilidad de tal solicitud.</w:t>
      </w:r>
    </w:p>
    <w:p>
      <w:pPr>
        <w:pStyle w:val="[Normal]"/>
        <w:spacing w:line="480" w:lineRule="auto"/>
        <w:ind w:firstLine="1134"/>
        <w:jc w:val="both"/>
        <w:rPr>
          <w:lang w:val="es-AR" w:eastAsia="es-AR" w:bidi="es-AR"/>
        </w:rPr>
      </w:pPr>
      <w:r>
        <w:rPr>
          <w:lang w:val="es-AR" w:eastAsia="es-AR" w:bidi="es-AR"/>
        </w:rPr>
        <w:t xml:space="preserve">Respecto al agravio expresado en relación al archivo de las actuaciones, entiendo que no puede prosperar, por cuanto atento a las especiales características del proceso de amparo, la reconducción pretendida no supondría una mera adaptación formal de la acción al nuevo proceso, sino además una reformulación sustancial de los presupuestos de procedencia de la acción intentada.	</w:t>
        <w:br w:type="textWrapping"/>
      </w:r>
      <w:r>
        <w:rPr>
          <w:lang w:val="es-AR" w:eastAsia="es-AR" w:bidi="es-AR"/>
        </w:rPr>
        <w:t xml:space="preserve"> 	En otro orden, y si bien en la tarea de calificar procesalmente la pertinencia de la vía rige el principio </w:t>
      </w:r>
      <w:r>
        <w:rPr>
          <w:i/>
          <w:lang w:val="es-AR" w:eastAsia="es-AR" w:bidi="es-AR"/>
        </w:rPr>
        <w:t xml:space="preserve">iura novit curia</w:t>
      </w:r>
      <w:r>
        <w:rPr>
          <w:lang w:val="es-AR" w:eastAsia="es-AR" w:bidi="es-AR"/>
        </w:rPr>
        <w:t xml:space="preserve">, ello no habilita al juez para subrogarse en la estrategia de la parte determinando de oficio el encuadramiento procesal de su pretensión cuando -como ocurrió en la especie- el apelante no ha propuesto una vía procesal específica para la reconducción de sus postulaciones. </w:t>
      </w:r>
    </w:p>
    <w:p>
      <w:pPr>
        <w:pStyle w:val="[Normal]"/>
        <w:spacing w:line="480" w:lineRule="auto"/>
        <w:ind w:firstLine="1134"/>
        <w:jc w:val="both"/>
        <w:rPr>
          <w:lang w:val="es-AR" w:eastAsia="es-AR" w:bidi="es-AR"/>
        </w:rPr>
      </w:pPr>
      <w:r>
        <w:rPr>
          <w:lang w:val="es-AR" w:eastAsia="es-AR" w:bidi="es-AR"/>
        </w:rPr>
        <w:t xml:space="preserve">Sobre esta cuestión, me hago eco de los fundamentos de un ilustrativo fallo de nuestro Máximo Tribunal Provincial: </w:t>
      </w:r>
      <w:r>
        <w:rPr>
          <w:i/>
          <w:lang w:val="es-AR" w:eastAsia="es-AR" w:bidi="es-AR"/>
        </w:rPr>
        <w:t xml:space="preserve">"</w:t>
      </w:r>
      <w:r>
        <w:rPr>
          <w:i/>
          <w:color w:val="000000"/>
          <w:lang w:val="es-AR" w:eastAsia="es-AR" w:bidi="es-AR"/>
        </w:rPr>
        <w:t xml:space="preserve">Por medio de la reconducción de postulaciones se trata de atenuar el rigorismo de las formas para evitar que por un error en la elección de la vía, se produzca un decaimiento del derecho sustancial que estaba en juego. Sin perjuicio de las razones y finalidades que justifican el uso de esta herramienta, la facultad no puede ejercerse de manera ilimitada y debe sujetarse a ciertas reglas. Como es injusto para una parte que por un error excusable en la elección de la vía pierda la defensa de su derecho, también lo es -para la otra- que el juez salve cualquier tipo de deficiencias para evitar la derrota de aquella parte en el proceso. Subyace en el tema una cuestión de límites al funcionamiento del iura novit curia y del activismo judicial. Así, deben darse los siguientes presupuestos: a) Que el planteo inicial de la parte tenga un defecto susceptible de subsanación. b) Que dicho planteo cubra por sí las exigencias formales para poder cursar por otra vía paralela. c) Que esta nueva vía alternativa resulte equivalente a la primera; y d) Que se infiera que la parte la hubiera elegido en su estrategia. Desde un punto de vista opuesto, la reconducción procesal: a) no procede ante cualquier defecto; b) no debe realizarse de cualquier modo ni alterar lo sustancial del planteo; c) no debe hacerse entre vías asimétricas; d) ni permite al juez subrogarse en la estrategia procesal elegida por la parte para la defensa de su derecho</w:t>
      </w:r>
      <w:r>
        <w:rPr>
          <w:i/>
          <w:lang w:val="es-AR" w:eastAsia="es-AR" w:bidi="es-AR"/>
        </w:rPr>
        <w:t xml:space="preserve">" (</w:t>
      </w:r>
      <w:r>
        <w:rPr>
          <w:lang w:val="es-AR" w:eastAsia="es-AR" w:bidi="es-AR"/>
        </w:rPr>
        <w:t xml:space="preserve"> SCBA, "Municipalidad de Tigre c/ Provincia de Buenos Aires s/ Conflicto art. 196", B 72835, 23/12/2014). </w:t>
      </w:r>
    </w:p>
    <w:p>
      <w:pPr>
        <w:pStyle w:val="[Normal]"/>
        <w:spacing w:line="480" w:lineRule="auto"/>
        <w:ind w:firstLine="1134"/>
        <w:jc w:val="both"/>
        <w:rPr>
          <w:lang w:val="es-AR" w:eastAsia="es-AR" w:bidi="es-AR"/>
        </w:rPr>
      </w:pPr>
      <w:r>
        <w:rPr>
          <w:lang w:val="es-AR" w:eastAsia="es-AR" w:bidi="es-AR"/>
        </w:rPr>
        <w:t xml:space="preserve">En virtud de todo lo expuesto, </w:t>
      </w:r>
      <w:r>
        <w:rPr>
          <w:lang w:val="es-AR" w:eastAsia="es-AR" w:bidi="es-AR"/>
        </w:rPr>
        <w:t xml:space="preserve">los argumentos desplegados por el Juez de Primera Instancia han quedado incólumes, por lo que propicio la confirmación del fallo.</w:t>
      </w:r>
    </w:p>
    <w:p>
      <w:pPr>
        <w:pStyle w:val="[Normal]"/>
        <w:spacing w:line="48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480" w:lineRule="auto"/>
        <w:ind w:firstLine="1134"/>
        <w:jc w:val="both"/>
        <w:rPr>
          <w:lang w:val="es-AR" w:eastAsia="es-AR" w:bidi="es-AR"/>
        </w:rPr>
      </w:pPr>
      <w:r>
        <w:rPr>
          <w:lang w:val="es-AR" w:eastAsia="es-AR" w:bidi="es-AR"/>
        </w:rPr>
        <w:t xml:space="preserve">VOTO POR LA AFIRMATIVA-</w:t>
      </w:r>
    </w:p>
    <w:p>
      <w:pPr>
        <w:pStyle w:val="[Normal]"/>
        <w:spacing w:line="480" w:lineRule="auto"/>
        <w:ind w:firstLine="1134"/>
        <w:jc w:val="both"/>
        <w:rPr>
          <w:lang w:val="es-AR" w:eastAsia="es-AR" w:bidi="es-AR"/>
        </w:rPr>
      </w:pPr>
      <w:r>
        <w:rPr>
          <w:lang w:val="es-AR" w:eastAsia="es-AR" w:bidi="es-AR"/>
        </w:rPr>
        <w:t xml:space="preserve">A la misma cuestión la Sra. Juez Graciela Scaraffía por análogos fundamentos votó en el mismo sentido.-</w:t>
      </w:r>
    </w:p>
    <w:p>
      <w:pPr>
        <w:pStyle w:val="[Normal]"/>
        <w:spacing w:line="480" w:lineRule="auto"/>
        <w:ind w:firstLine="1134"/>
        <w:jc w:val="both"/>
        <w:rPr>
          <w:lang w:val="es-AR" w:eastAsia="es-AR" w:bidi="es-AR"/>
        </w:rPr>
      </w:pPr>
      <w:r>
        <w:rPr>
          <w:lang w:val="es-AR" w:eastAsia="es-AR" w:bidi="es-AR"/>
        </w:rPr>
        <w:t xml:space="preserve">A la segunda cuestión el Sr. Juez Roberto Degleue dijo: de conformidad al resultado habido al tratarse la cuestión precedente, estimo que el pronunciamiento que corresponde dictar es: 1) Desestimar el recurso en tratamiento y, en consecuencia, CONFIRMAR la resolución apelada en todos sus términos. 2) Imponer las costas de esta instancia al apelante (art. 68 CPC). </w:t>
      </w:r>
    </w:p>
    <w:p>
      <w:pPr>
        <w:pStyle w:val="[Normal]"/>
        <w:spacing w:line="480" w:lineRule="auto"/>
        <w:ind w:firstLine="1134"/>
        <w:jc w:val="both"/>
        <w:rPr>
          <w:lang w:val="es-AR" w:eastAsia="es-AR" w:bidi="es-AR"/>
        </w:rPr>
      </w:pPr>
      <w:r>
        <w:rPr>
          <w:lang w:val="es-AR" w:eastAsia="es-AR" w:bidi="es-AR"/>
        </w:rPr>
        <w:t xml:space="preserve">ASI LO VOTO. </w:t>
      </w:r>
    </w:p>
    <w:p>
      <w:pPr>
        <w:pStyle w:val="[Normal]"/>
        <w:spacing w:line="480" w:lineRule="auto"/>
        <w:ind w:firstLine="1134"/>
        <w:jc w:val="both"/>
        <w:rPr>
          <w:lang w:val="es-AR" w:eastAsia="es-AR" w:bidi="es-AR"/>
        </w:rPr>
      </w:pPr>
      <w:r>
        <w:rPr>
          <w:lang w:val="es-AR" w:eastAsia="es-AR" w:bidi="es-AR"/>
        </w:rPr>
        <w:t xml:space="preserve">A la misma cuestión la Sra. Juez Graciela Scaraffía  por análogos fundamentos votó en el mismo sentido.-</w:t>
      </w:r>
    </w:p>
    <w:p>
      <w:pPr>
        <w:pStyle w:val="[Normal]"/>
        <w:spacing w:line="48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480" w:lineRule="auto"/>
        <w:ind w:firstLine="1134"/>
        <w:jc w:val="both"/>
        <w:rPr>
          <w:lang w:val="es-AR" w:eastAsia="es-AR" w:bidi="es-AR"/>
        </w:rPr>
      </w:pPr>
      <w:r>
        <w:rPr>
          <w:b/>
          <w:u w:val="single"/>
          <w:lang w:val="es-AR" w:eastAsia="es-AR" w:bidi="es-AR"/>
        </w:rPr>
        <w:t xml:space="preserve">S E N T E N C I A:</w:t>
      </w:r>
    </w:p>
    <w:p>
      <w:pPr>
        <w:pStyle w:val="[Normal]"/>
        <w:spacing w:line="480" w:lineRule="auto"/>
        <w:ind w:firstLine="1134"/>
        <w:jc w:val="both"/>
        <w:rPr>
          <w:b/>
          <w:u w:val="single"/>
          <w:lang w:val="es-AR" w:eastAsia="es-AR" w:bidi="es-AR"/>
        </w:rPr>
      </w:pPr>
      <w:r>
        <w:rPr>
          <w:lang w:val="es-AR" w:eastAsia="es-AR" w:bidi="es-AR"/>
        </w:rPr>
        <w:t xml:space="preserve">1) Desestimar el recurso en tratamiento y, en consecuencia, CONFIRMAR la resolución apelada en todos sus términos. 	</w:t>
        <w:br w:type="textWrapping"/>
      </w:r>
      <w:r>
        <w:rPr>
          <w:lang w:val="es-AR" w:eastAsia="es-AR" w:bidi="es-AR"/>
        </w:rPr>
        <w:t xml:space="preserve"> 	2) Imponer las costas de esta instancia al apelante (art. 68 CPC).</w:t>
      </w:r>
    </w:p>
    <w:p>
      <w:pPr>
        <w:pStyle w:val="[Normal]"/>
        <w:spacing w:line="480" w:lineRule="auto"/>
        <w:ind w:firstLine="1134"/>
        <w:jc w:val="both"/>
        <w:rPr>
          <w:color w:val="000000"/>
          <w:lang w:val="es-AR" w:eastAsia="es-AR" w:bidi="es-AR"/>
        </w:rPr>
      </w:pPr>
      <w:r>
        <w:rPr>
          <w:lang w:val="es-AR" w:eastAsia="es-AR" w:bidi="es-AR"/>
        </w:rPr>
        <w:t xml:space="preserve">Regístrese. Notifíquese. Devuélvase.-</w:t>
      </w:r>
    </w:p>
    <w:p>
      <w:pPr>
        <w:pStyle w:val="[Normal]"/>
        <w:spacing w:line="480" w:lineRule="auto"/>
        <w:ind w:firstLine="1134"/>
        <w:jc w:val="both"/>
        <w:rPr>
          <w:color w:val="000000"/>
          <w:lang w:val="es-AR" w:eastAsia="es-AR" w:bidi="es-AR"/>
        </w:rPr>
      </w:pPr>
    </w:p>
    <w:p>
      <w:pPr>
        <w:pStyle w:val="[Normal]"/>
        <w:spacing w:line="480" w:lineRule="auto"/>
        <w:ind w:firstLine="1134"/>
        <w:jc w:val="both"/>
        <w:rPr>
          <w:color w:val="000000"/>
          <w:lang w:val="es-AR" w:eastAsia="es-AR" w:bidi="es-AR"/>
        </w:rPr>
      </w:pPr>
    </w:p>
    <w:p>
      <w:pPr>
        <w:pStyle w:val="[Normal]"/>
        <w:jc w:val="both"/>
        <w:rPr>
          <w:b/>
          <w:color w:val="000000"/>
          <w:sz w:val="18"/>
          <w:lang w:val="es-AR" w:eastAsia="es-AR" w:bidi="es-AR"/>
        </w:rPr>
      </w:pPr>
      <w:r>
        <w:rPr>
          <w:color w:val="000000"/>
          <w:lang w:val="es-AR" w:eastAsia="es-AR" w:bidi="es-AR"/>
        </w:rPr>
        <w:t xml:space="preserve">                                             </w:t>
      </w:r>
      <w:r>
        <w:rPr>
          <w:b/>
          <w:color w:val="000000"/>
          <w:sz w:val="18"/>
          <w:lang w:val="es-AR" w:eastAsia="es-AR" w:bidi="es-AR"/>
        </w:rPr>
        <w:t xml:space="preserve">Graciela SCARAFFIA          </w:t>
      </w:r>
    </w:p>
    <w:p>
      <w:pPr>
        <w:pStyle w:val="[Normal]"/>
        <w:jc w:val="both"/>
        <w:rPr>
          <w:b/>
          <w:color w:val="000000"/>
          <w:sz w:val="18"/>
          <w:lang w:val="es-AR" w:eastAsia="es-AR" w:bidi="es-AR"/>
        </w:rPr>
      </w:pPr>
      <w:r>
        <w:rPr>
          <w:b/>
          <w:color w:val="000000"/>
          <w:sz w:val="18"/>
          <w:lang w:val="es-AR" w:eastAsia="es-AR" w:bidi="es-AR"/>
        </w:rPr>
        <w:t xml:space="preserve">                                                                         Jueza </w:t>
      </w:r>
    </w:p>
    <w:p>
      <w:pPr>
        <w:pStyle w:val="[Normal]"/>
        <w:spacing w:line="480" w:lineRule="auto"/>
        <w:ind w:firstLine="1134"/>
        <w:jc w:val="both"/>
        <w:rPr>
          <w:color w:val="000000"/>
          <w:lang w:val="es-AR" w:eastAsia="es-AR" w:bidi="es-AR"/>
        </w:rPr>
      </w:pPr>
    </w:p>
    <w:p>
      <w:pPr>
        <w:pStyle w:val="[Normal]"/>
        <w:jc w:val="both"/>
        <w:rPr>
          <w:b/>
          <w:color w:val="000000"/>
          <w:sz w:val="18"/>
          <w:lang w:val="es-AR" w:eastAsia="es-AR" w:bidi="es-AR"/>
        </w:rPr>
      </w:pPr>
      <w:r>
        <w:rPr>
          <w:b/>
          <w:color w:val="000000"/>
          <w:sz w:val="18"/>
          <w:lang w:val="es-AR" w:eastAsia="es-AR" w:bidi="es-AR"/>
        </w:rPr>
        <w:t xml:space="preserve">Roberto Manuel DEGLEUE</w:t>
      </w:r>
    </w:p>
    <w:p>
      <w:pPr>
        <w:pStyle w:val="[Normal]"/>
        <w:jc w:val="both"/>
        <w:rPr>
          <w:b/>
          <w:color w:val="000000"/>
          <w:sz w:val="18"/>
          <w:lang w:val="es-AR" w:eastAsia="es-AR" w:bidi="es-AR"/>
        </w:rPr>
      </w:pPr>
      <w:r>
        <w:rPr>
          <w:b/>
          <w:color w:val="000000"/>
          <w:sz w:val="18"/>
          <w:lang w:val="es-AR" w:eastAsia="es-AR" w:bidi="es-AR"/>
        </w:rPr>
        <w:t xml:space="preserve">                Juez</w:t>
      </w:r>
    </w:p>
    <w:p>
      <w:pPr>
        <w:pStyle w:val="[Normal]"/>
        <w:jc w:val="both"/>
        <w:rPr>
          <w:b/>
          <w:color w:val="000000"/>
          <w:sz w:val="18"/>
          <w:lang w:val="es-AR" w:eastAsia="es-AR" w:bidi="es-AR"/>
        </w:rPr>
      </w:pPr>
    </w:p>
    <w:p>
      <w:pPr>
        <w:pStyle w:val="[Normal]"/>
        <w:jc w:val="both"/>
        <w:rPr>
          <w:b/>
          <w:color w:val="000000"/>
          <w:sz w:val="18"/>
          <w:lang w:val="es-AR" w:eastAsia="es-AR" w:bidi="es-AR"/>
        </w:rPr>
      </w:pPr>
    </w:p>
    <w:p>
      <w:pPr>
        <w:pStyle w:val="[Normal]"/>
        <w:jc w:val="center"/>
        <w:rPr>
          <w:b/>
          <w:color w:val="000000"/>
          <w:sz w:val="18"/>
          <w:lang w:val="es-AR" w:eastAsia="es-AR" w:bidi="es-AR"/>
        </w:rPr>
      </w:pPr>
      <w:r>
        <w:rPr>
          <w:b/>
          <w:color w:val="000000"/>
          <w:sz w:val="18"/>
          <w:lang w:val="es-AR" w:eastAsia="es-AR" w:bidi="es-AR"/>
        </w:rPr>
        <w:t xml:space="preserve">   Adrián Oscar MOREA</w:t>
      </w:r>
    </w:p>
    <w:p>
      <w:pPr>
        <w:pStyle w:val="[Normal]"/>
        <w:jc w:val="center"/>
        <w:rPr>
          <w:b/>
          <w:color w:val="000000"/>
          <w:sz w:val="18"/>
          <w:lang w:val="es-AR" w:eastAsia="es-AR" w:bidi="es-AR"/>
        </w:rPr>
      </w:pPr>
      <w:r>
        <w:rPr>
          <w:b/>
          <w:color w:val="000000"/>
          <w:sz w:val="18"/>
          <w:lang w:val="es-AR" w:eastAsia="es-AR" w:bidi="es-AR"/>
        </w:rPr>
        <w:t xml:space="preserve">     Auxiliar Letrado</w:t>
      </w:r>
    </w:p>
    <w:p>
      <w:pPr>
        <w:pStyle w:val="[Normal]"/>
        <w:rPr>
          <w:b/>
          <w:color w:val="000000"/>
          <w:sz w:val="18"/>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charset w:val="00"/>
    <w:family w:val="swiss"/>
    <w:pitch w:val="variable"/>
  </w:font>
  <w:font w:name="Times New Roman">
    <w:charset w:val="00"/>
    <w:family w:val="roman"/>
    <w:pitch w:val="variable"/>
  </w:font>
  <w:font w:name="Symbol">
    <w:charset w:val="02"/>
    <w:family w:val="roman"/>
    <w:pitch w:val="variable"/>
  </w:font>
</w:fonts>
</file>

<file path=word/settings.xml><?xml version="1.0" encoding="utf-8"?>
<w:settings xmlns:w="http://schemas.openxmlformats.org/wordprocessingml/2006/main">
  <w:bordersDoNotSurroundHeader/>
  <w:bordersDoNotSurroundFooter/>
  <w:defaultTabStop w:val="1134"/>
  <w:compat>
    <w:noExtraLineSpacing/>
  </w:compat>
</w:settings>
</file>

<file path=word/styles.xml><?xml version="1.0" encoding="utf-8"?>
<w:styles xmlns:w="http://schemas.openxmlformats.org/wordprocessingml/2006/main">
  <w:docDefaults>
    <w:rPrDefault>
      <w:rPr>
        <w:rFonts w:ascii="Arial"/>
        <w:sz w:val="24"/>
      </w:rPr>
    </w:rPrDefault>
  </w:docDefaults>
  <w:latentStyles/>
  <w:style w:type="paragraph" w:styleId="[Normal]" w:default="1">
    <w:name w:val="[Normal]"/>
    <w:next w:val="[Normal]"/>
    <w:qFormat/>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sz w:val="24"/>
      <w:szCs w:val="24"/>
      <w:shd w:val="clear" w:fill="auto"/>
      <w:rtl w:val="off"/>
      <w:lang w:val="x-none" w:eastAsia="x-none" w:bidi="x-none"/>
    </w:rPr>
  </w:style>
</w:styles>
</file>

<file path=word/_rels/document.xml.rels><?xml version="1.0" encoding="UTF-8" standalone="yes"?><Relationships xmlns="http://schemas.openxmlformats.org/package/2006/relationships">
	<Relationship Id="rId00004" Type="http://schemas.openxmlformats.org/officeDocument/2006/relationships/styles" Target="styles.xml"/>
	<Relationship Id="rId00005" Type="http://schemas.openxmlformats.org/officeDocument/2006/relationships/fontTable" Target="fontTable.xml"/>
	<Relationship Id="rId0000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Application>TX_DOX 20.0.150.502</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coreProperties>
</file>