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	Registro N°  169      /</w:t>
      </w:r>
      <w:r>
        <w:rPr>
          <w:b/>
          <w:color w:val="000000"/>
          <w:lang w:val="es-AR" w:eastAsia="es-AR" w:bidi="es-AR"/>
        </w:rPr>
        <w:t xml:space="preserve">2018</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795/799</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13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2875-17</w:t>
      </w:r>
      <w:r>
        <w:rPr>
          <w:lang w:val="es-AR" w:eastAsia="es-AR" w:bidi="es-AR"/>
        </w:rPr>
        <w:t xml:space="preserve"> caratulada </w:t>
      </w:r>
      <w:r>
        <w:rPr>
          <w:b/>
          <w:lang w:val="es-AR" w:eastAsia="es-AR" w:bidi="es-AR"/>
        </w:rPr>
        <w:t xml:space="preserve">"</w:t>
      </w:r>
      <w:r>
        <w:rPr>
          <w:b/>
          <w:color w:val="000000"/>
          <w:lang w:val="es-AR" w:eastAsia="es-AR" w:bidi="es-AR"/>
        </w:rPr>
        <w:t xml:space="preserve">FAURA CRISTINA MARIA DE MONSERRAT  C/ ABRAHAM DE LAPINE NILDA NASHIRA S/INCIDENTE (EXCEPTO LOS TIPIFICADOS EXPRESAMENTE)</w:t>
      </w:r>
      <w:r>
        <w:rPr>
          <w:b/>
          <w:lang w:val="es-AR" w:eastAsia="es-AR" w:bidi="es-AR"/>
        </w:rPr>
        <w:t xml:space="preserve">"</w:t>
      </w:r>
      <w:r>
        <w:rPr>
          <w:lang w:val="es-AR" w:eastAsia="es-AR" w:bidi="es-AR"/>
        </w:rPr>
        <w:t xml:space="preserve">, Expte. 53.962 del Juzgado en lo Civil y Comercial N° 3, se practicó el sorteo de ley que determinó que la votación debía efectuarse en el siguiente orden: Roberto Manuel Degleue y Graciela Scaraffía, y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en lo apelado?.</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El señor Juez de primera instancia falló en las presentes actuaciones tomando como base arancelaria la valuación estimada a fs. 98/9 por la Dra. Matarazzo ($4.200.000) y regulando honorarios a los profesionales intervinientes.</w:t>
      </w:r>
    </w:p>
    <w:p>
      <w:pPr>
        <w:pStyle w:val="[Normal]"/>
        <w:spacing w:line="480" w:lineRule="auto"/>
        <w:ind w:firstLine="1134"/>
        <w:jc w:val="both"/>
        <w:rPr>
          <w:lang w:val="es-AR" w:eastAsia="es-AR" w:bidi="es-AR"/>
        </w:rPr>
      </w:pPr>
      <w:r>
        <w:rPr>
          <w:lang w:val="es-AR" w:eastAsia="es-AR" w:bidi="es-AR"/>
        </w:rPr>
        <w:t xml:space="preserve">Disconforme con lo decidido apelan la Dra. Matarazzo mediante escrito electrónico de fecha 19-12-2017 y la demandada a fs. 158/vta., concedidos ambos recursos en relación a fs. 159, fundados en el acto de su interposición, no habiendo las partes contestados los traslados conferidos. </w:t>
      </w:r>
    </w:p>
    <w:p>
      <w:pPr>
        <w:pStyle w:val="[Normal]"/>
        <w:spacing w:line="480" w:lineRule="auto"/>
        <w:ind w:firstLine="1134"/>
        <w:jc w:val="both"/>
        <w:rPr>
          <w:lang w:val="es-AR" w:eastAsia="es-AR" w:bidi="es-AR"/>
        </w:rPr>
      </w:pPr>
      <w:r>
        <w:rPr>
          <w:lang w:val="es-AR" w:eastAsia="es-AR" w:bidi="es-AR"/>
        </w:rPr>
        <w:t xml:space="preserve">La Dra. Teresita Matarazzo se agravia de los honorarios regulados a su favor, por considerarlos bajos. </w:t>
      </w:r>
    </w:p>
    <w:p>
      <w:pPr>
        <w:pStyle w:val="[Normal]"/>
        <w:spacing w:line="480" w:lineRule="auto"/>
        <w:ind w:firstLine="1134"/>
        <w:jc w:val="both"/>
        <w:rPr>
          <w:lang w:val="es-AR" w:eastAsia="es-AR" w:bidi="es-AR"/>
        </w:rPr>
      </w:pPr>
      <w:r>
        <w:rPr>
          <w:lang w:val="es-AR" w:eastAsia="es-AR" w:bidi="es-AR"/>
        </w:rPr>
        <w:t xml:space="preserve">Cuestiona la base regulatoria tenida en cuenta por el sentenciante -estos es, la valuación estimada a fs. 98/9-, señalando que a tales fines correspondía considerar el valor asignado por el perito tasador designado al efecto -$6.300.000-</w:t>
      </w:r>
    </w:p>
    <w:p>
      <w:pPr>
        <w:pStyle w:val="[Normal]"/>
        <w:spacing w:line="480" w:lineRule="auto"/>
        <w:ind w:firstLine="1134"/>
        <w:jc w:val="both"/>
        <w:rPr>
          <w:lang w:val="es-AR" w:eastAsia="es-AR" w:bidi="es-AR"/>
        </w:rPr>
      </w:pPr>
      <w:r>
        <w:rPr>
          <w:lang w:val="es-AR" w:eastAsia="es-AR" w:bidi="es-AR"/>
        </w:rPr>
        <w:t xml:space="preserve">En apoyo a su postura esgrime diversas razones, a saber: 1) desvalorización por el tiempo transcurrido desde la estimación y la pericia practicada; 2) pericia no cuestionada; 3) se presume que el martillero tiene mas conocimientos que el letrado a la hora de tasar el bien; y 4) el juez no debió tomar como "techo" la estimación de la letrada.</w:t>
      </w:r>
    </w:p>
    <w:p>
      <w:pPr>
        <w:pStyle w:val="[Normal]"/>
        <w:spacing w:line="480" w:lineRule="auto"/>
        <w:ind w:firstLine="1134"/>
        <w:jc w:val="both"/>
        <w:rPr>
          <w:lang w:val="es-AR" w:eastAsia="es-AR" w:bidi="es-AR"/>
        </w:rPr>
      </w:pPr>
      <w:r>
        <w:rPr>
          <w:lang w:val="es-AR" w:eastAsia="es-AR" w:bidi="es-AR"/>
        </w:rPr>
        <w:t xml:space="preserve">Cita jurisprudencia en apoyo a su postura y solicita se haga lugar al recurso deducido.</w:t>
      </w:r>
    </w:p>
    <w:p>
      <w:pPr>
        <w:pStyle w:val="[Normal]"/>
        <w:spacing w:line="480" w:lineRule="auto"/>
        <w:ind w:firstLine="1134"/>
        <w:jc w:val="both"/>
        <w:rPr>
          <w:lang w:val="es-AR" w:eastAsia="es-AR" w:bidi="es-AR"/>
        </w:rPr>
      </w:pPr>
      <w:r>
        <w:rPr>
          <w:lang w:val="es-AR" w:eastAsia="es-AR" w:bidi="es-AR"/>
        </w:rPr>
        <w:t xml:space="preserve">A su turno la demandada apela por altos los honorarios regulados a los letrados intervinientes. Señala que yerra el a-quo al regular honorarios conforme el art. 37 del D/Ley 8904 </w:t>
      </w:r>
      <w:r>
        <w:rPr>
          <w:color w:val="000000"/>
          <w:lang w:val="es-AR" w:eastAsia="es-AR" w:bidi="es-AR"/>
        </w:rPr>
        <w:t xml:space="preserve">-previsto para medidas cautelares autónomas-</w:t>
      </w:r>
      <w:r>
        <w:rPr>
          <w:lang w:val="es-AR" w:eastAsia="es-AR" w:bidi="es-AR"/>
        </w:rPr>
        <w:t xml:space="preserve"> pues a su entender correspondía se aplique el art. 47 del citado cuerpo legal. </w:t>
      </w:r>
    </w:p>
    <w:p>
      <w:pPr>
        <w:pStyle w:val="[Normal]"/>
        <w:spacing w:line="480" w:lineRule="auto"/>
        <w:ind w:firstLine="1134"/>
        <w:jc w:val="both"/>
        <w:rPr>
          <w:lang w:val="es-AR" w:eastAsia="es-AR" w:bidi="es-AR"/>
        </w:rPr>
      </w:pPr>
      <w:r>
        <w:rPr>
          <w:lang w:val="es-AR" w:eastAsia="es-AR" w:bidi="es-AR"/>
        </w:rPr>
        <w:t xml:space="preserve">Cita doctrina en apoyo a su posición. </w:t>
      </w:r>
    </w:p>
    <w:p>
      <w:pPr>
        <w:pStyle w:val="[Normal]"/>
        <w:spacing w:line="480" w:lineRule="auto"/>
        <w:ind w:firstLine="1134"/>
        <w:jc w:val="both"/>
        <w:rPr>
          <w:lang w:val="es-AR" w:eastAsia="es-AR" w:bidi="es-AR"/>
        </w:rPr>
      </w:pPr>
      <w:r>
        <w:rPr>
          <w:lang w:val="es-AR" w:eastAsia="es-AR" w:bidi="es-AR"/>
        </w:rPr>
        <w:t xml:space="preserve">Vista la presente, por una cuestión metodológica comenzaré por el análisis de los agravios esgrimidos por la Dra. Matarazzo, por los cuales se desconforma con el valor del litigio a los fines arancelarios, entendiendo, por los argumentos que a continuación expondré, que asiste razón a la recurrente.</w:t>
      </w:r>
    </w:p>
    <w:p>
      <w:pPr>
        <w:pStyle w:val="[Normal]"/>
        <w:spacing w:line="480" w:lineRule="auto"/>
        <w:ind w:firstLine="1134"/>
        <w:jc w:val="both"/>
        <w:rPr>
          <w:lang w:val="es-AR" w:eastAsia="es-AR" w:bidi="es-AR"/>
        </w:rPr>
      </w:pPr>
      <w:r>
        <w:rPr>
          <w:lang w:val="es-AR" w:eastAsia="es-AR" w:bidi="es-AR"/>
        </w:rPr>
        <w:t xml:space="preserve">El art. 27 inc. a) del D/Ley 8904 dispone que cuando el juicio versare sobre inmuebles o derechos sobre los mismos deberá tomarse como base regulatoria el valor de la tasación que surja de las actuaciones y si no hubieran sido tasados, su valuación fiscal al momento en que  se practique la regulación, incrementada en un 20%. No obstante, si el profesional reputa a ésta inadecuada, podrá estimar la suma que considere, de la cual se corre traslado a quienes se encuentren obligados al pago de los honorarios, y en caso de oposición se designa un perito tasador. Culminado este procedimiento el juez debe resolver asignando un valor al bien (conf. Hitters - Cairo "Honorarios de Abogados y Procuradores, Est. análitico dec.ley.8904 y normas compl..."Ed. 2007, pág. 319/23).-</w:t>
      </w:r>
    </w:p>
    <w:p>
      <w:pPr>
        <w:pStyle w:val="[Normal]"/>
        <w:spacing w:line="480" w:lineRule="auto"/>
        <w:ind w:firstLine="1134"/>
        <w:jc w:val="both"/>
        <w:rPr>
          <w:color w:val="000000"/>
          <w:lang w:val="es-AR" w:eastAsia="es-AR" w:bidi="es-AR"/>
        </w:rPr>
      </w:pPr>
      <w:r>
        <w:rPr>
          <w:color w:val="000000"/>
          <w:shd w:val="clear" w:fill="FFFFFF"/>
          <w:lang w:val="es-AR" w:eastAsia="es-AR" w:bidi="es-AR"/>
        </w:rPr>
        <w:t xml:space="preserve">Tal procedimiento de tasación se puso en funcionamiento como consecuencia de que la Dra. Teresita Matarazzo hizo uso de la facultad de estimación, asignándole un valor (fs. 98/99)</w:t>
      </w:r>
      <w:r>
        <w:rPr>
          <w:lang w:val="es-AR" w:eastAsia="es-AR" w:bidi="es-AR"/>
        </w:rPr>
        <w:t xml:space="preserve"> y ante la oposición de la demandada (fs. 104/5), </w:t>
      </w:r>
      <w:r>
        <w:rPr>
          <w:color w:val="000000"/>
          <w:shd w:val="clear" w:fill="FFFFFF"/>
          <w:lang w:val="es-AR" w:eastAsia="es-AR" w:bidi="es-AR"/>
        </w:rPr>
        <w:t xml:space="preserve">se ordenó la realización de la pericia de tasación. </w:t>
      </w:r>
      <w:r>
        <w:rPr>
          <w:color w:val="000000"/>
          <w:lang w:val="es-AR" w:eastAsia="es-AR" w:bidi="es-AR"/>
        </w:rPr>
        <w:t xml:space="preserve">Allegada la misma a fs. 143/5, es notificada a la demandada (fs. 147), quien no impugna dicha pericia.  </w:t>
      </w:r>
    </w:p>
    <w:p>
      <w:pPr>
        <w:pStyle w:val="[Normal]"/>
        <w:spacing w:line="480" w:lineRule="auto"/>
        <w:ind w:firstLine="1134"/>
        <w:jc w:val="both"/>
        <w:rPr>
          <w:lang w:val="es-AR" w:eastAsia="es-AR" w:bidi="es-AR"/>
        </w:rPr>
      </w:pPr>
      <w:r>
        <w:rPr>
          <w:lang w:val="es-AR" w:eastAsia="es-AR" w:bidi="es-AR"/>
        </w:rPr>
        <w:t xml:space="preserve">Finalmente el juzgador primero establece como base regulatoria el valor que le asignó la Dra. Matarazzo al inmueble, fundando su proceder en que la estimación practicada por la letrada se aproxima a la suma que se informa en la pericia aludida.</w:t>
      </w:r>
    </w:p>
    <w:p>
      <w:pPr>
        <w:pStyle w:val="[Normal]"/>
        <w:spacing w:line="480" w:lineRule="auto"/>
        <w:ind w:firstLine="1134"/>
        <w:jc w:val="both"/>
        <w:rPr>
          <w:lang w:val="es-AR" w:eastAsia="es-AR" w:bidi="es-AR"/>
        </w:rPr>
      </w:pPr>
      <w:r>
        <w:rPr>
          <w:lang w:val="es-AR" w:eastAsia="es-AR" w:bidi="es-AR"/>
        </w:rPr>
        <w:t xml:space="preserve">Ello asi, cabe recordar que el valor que el juez le asigna al bien no debe necesariamente coincidir ni con el estimado por las partes ni con el propuesto por el perito tasador, ya que la norma no lo impone ni surge de ninguna otra disposición procesal (art. 19 Const. Nac. y 25 Const. Prov. Bs. As.). "</w:t>
      </w:r>
    </w:p>
    <w:p>
      <w:pPr>
        <w:pStyle w:val="[Normal]"/>
        <w:spacing w:line="480" w:lineRule="auto"/>
        <w:ind w:firstLine="1134"/>
        <w:jc w:val="both"/>
        <w:rPr>
          <w:lang w:val="es-AR" w:eastAsia="es-AR" w:bidi="es-AR"/>
        </w:rPr>
      </w:pPr>
      <w:r>
        <w:rPr>
          <w:lang w:val="es-AR" w:eastAsia="es-AR" w:bidi="es-AR"/>
        </w:rPr>
        <w:t xml:space="preserve">En mismo sentido se ha dicho que "...</w:t>
      </w:r>
      <w:r>
        <w:rPr>
          <w:i/>
          <w:lang w:val="es-AR" w:eastAsia="es-AR" w:bidi="es-AR"/>
        </w:rPr>
        <w:t xml:space="preserve">la estimación efectuada por el profesional, preterida ya en su relevancia por la disconformidad del oponente y la apertura del procedimiento evaluativo, de ninguna manera puede implicar un límite o techo que no se ha de pasar cualquiera sea el resultado de la tasación y la opinión del juez</w:t>
      </w:r>
      <w:r>
        <w:rPr>
          <w:lang w:val="es-AR" w:eastAsia="es-AR" w:bidi="es-AR"/>
        </w:rPr>
        <w:t xml:space="preserve">" (CC0100 SN 12317 I 05/07/2016 I JUBA B860698)</w:t>
      </w:r>
    </w:p>
    <w:p>
      <w:pPr>
        <w:pStyle w:val="[Normal]"/>
        <w:spacing w:line="480" w:lineRule="auto"/>
        <w:ind w:firstLine="1134"/>
        <w:jc w:val="both"/>
        <w:rPr>
          <w:lang w:val="es-AR" w:eastAsia="es-AR" w:bidi="es-AR"/>
        </w:rPr>
      </w:pPr>
      <w:r>
        <w:rPr>
          <w:lang w:val="es-AR" w:eastAsia="es-AR" w:bidi="es-AR"/>
        </w:rPr>
        <w:t xml:space="preserve">En la especie, debo destacar que el informe pericial del martillero Vicente Ubaldo Ardissone presentado a fs. 143/5 no fue cuestionado por las partes, por lo que no advierto razones suficientes que indiquen apartarme de lo allí dictaminado.</w:t>
      </w:r>
    </w:p>
    <w:p>
      <w:pPr>
        <w:pStyle w:val="[Normal]"/>
        <w:spacing w:line="480" w:lineRule="auto"/>
        <w:ind w:firstLine="1134"/>
        <w:jc w:val="both"/>
        <w:rPr>
          <w:lang w:val="es-AR" w:eastAsia="es-AR" w:bidi="es-AR"/>
        </w:rPr>
      </w:pPr>
      <w:r>
        <w:rPr>
          <w:lang w:val="es-AR" w:eastAsia="es-AR" w:bidi="es-AR"/>
        </w:rPr>
        <w:t xml:space="preserve">Máxime cuando, tal como sindica la apelante, ha trascurrido un año entre la estimación (23-9-2016) y la presentación de la pericia (25-9-2017). A lo que aduno, que si se tiene en cuenta que a la fecha se está resolviendo dicha cuestión, ya han transcurrido más de dos años desde aquella primera tasación. </w:t>
      </w:r>
    </w:p>
    <w:p>
      <w:pPr>
        <w:pStyle w:val="[Normal]"/>
        <w:spacing w:line="480" w:lineRule="auto"/>
        <w:ind w:firstLine="1134"/>
        <w:jc w:val="both"/>
        <w:rPr>
          <w:lang w:val="es-AR" w:eastAsia="es-AR" w:bidi="es-AR"/>
        </w:rPr>
      </w:pPr>
      <w:r>
        <w:rPr>
          <w:lang w:val="es-AR" w:eastAsia="es-AR" w:bidi="es-AR"/>
        </w:rPr>
        <w:t xml:space="preserve">Como consecuencia de ello debo mencionar que resulta público y notorio el alza de los precios en la compraventa de inmuebles en el transcurso del tiempo señalado debido a la variación en el tipo de cambio, lo que conlleva que la tasación acompañada por la Dra. Matarazzo haya quedado depreciada, especialmente si tenemos en cuenta que ambas tasaciones fueron expresadas en pesos argentinos.</w:t>
      </w:r>
    </w:p>
    <w:p>
      <w:pPr>
        <w:pStyle w:val="[Normal]"/>
        <w:spacing w:line="480" w:lineRule="auto"/>
        <w:ind w:firstLine="1134"/>
        <w:jc w:val="both"/>
        <w:rPr>
          <w:b/>
          <w:lang w:val="es-AR" w:eastAsia="es-AR" w:bidi="es-AR"/>
        </w:rPr>
      </w:pPr>
      <w:r>
        <w:rPr>
          <w:lang w:val="es-AR" w:eastAsia="es-AR" w:bidi="es-AR"/>
        </w:rPr>
        <w:t xml:space="preserve">Desde este ángulo, la constatación precedente entraña -</w:t>
      </w:r>
      <w:r>
        <w:rPr>
          <w:i/>
          <w:lang w:val="es-AR" w:eastAsia="es-AR" w:bidi="es-AR"/>
        </w:rPr>
        <w:t xml:space="preserve">como hice mención</w:t>
      </w:r>
      <w:r>
        <w:rPr>
          <w:lang w:val="es-AR" w:eastAsia="es-AR" w:bidi="es-AR"/>
        </w:rPr>
        <w:t xml:space="preserve">- una apreciación fundada en el denominado hecho notorio, concepto que comprende a: </w:t>
      </w:r>
      <w:r>
        <w:rPr>
          <w:i/>
          <w:lang w:val="es-AR" w:eastAsia="es-AR" w:bidi="es-AR"/>
        </w:rPr>
        <w:t xml:space="preserve">"...los hechos históricos o políticos, los accidentes geográficos y los acontecimientos de cuya existencia dan cuenta los medios corrientes de difusión, siempre que sean conocidos y tenidos por la generalidad de las personas de mediana cultura en el lugar y en el tiempo en que se desenvuelve el proceso (...)" </w:t>
      </w:r>
      <w:r>
        <w:rPr>
          <w:lang w:val="es-AR" w:eastAsia="es-AR" w:bidi="es-AR"/>
        </w:rPr>
        <w:t xml:space="preserve">(PALACIO, Lino E., Derecho procesal Civil, Buenos Aires, Ed. Abeledo Perrot, 2004, t. IV, pag. 331).</w:t>
      </w:r>
    </w:p>
    <w:p>
      <w:pPr>
        <w:pStyle w:val="[Normal]"/>
        <w:spacing w:line="480" w:lineRule="auto"/>
        <w:ind w:firstLine="1134"/>
        <w:jc w:val="both"/>
        <w:rPr>
          <w:lang w:val="es-AR" w:eastAsia="es-AR" w:bidi="es-AR"/>
        </w:rPr>
      </w:pPr>
      <w:r>
        <w:rPr>
          <w:b/>
          <w:lang w:val="es-AR" w:eastAsia="es-AR" w:bidi="es-AR"/>
        </w:rPr>
        <w:t xml:space="preserve"> </w:t>
      </w:r>
      <w:r>
        <w:rPr>
          <w:lang w:val="es-AR" w:eastAsia="es-AR" w:bidi="es-AR"/>
        </w:rPr>
        <w:t xml:space="preserve">"Debe tenerse presente que el informe del martillero público, como auxiliar de justicia, está ligado a la sana crítica del magistrado como regla del correcto entendimiento humano, lo cual no sólo supone la consabida posibilidad de apartarse de sus conclusiones por considerarlas erradas al no encontrar basamento en las restantes piezas del proceso o contradecirse con ellas, sino también permite al juez valerse de un dictamen pericial que arroje resultados concordantes respecto al contexto probatorio general de la causa (cf. FENOCHIETTO, Carlos Eduardo, Código Procesal Civil y Comercial de la Provincia de Buenos Aires, Comentado, Anotado y Concordado, Buenos Aires, Editorial Astrea, 2009, pag. 525).	</w:t>
        <w:br w:type="textWrapping"/>
      </w:r>
      <w:r>
        <w:rPr>
          <w:lang w:val="es-AR" w:eastAsia="es-AR" w:bidi="es-AR"/>
        </w:rPr>
        <w:t xml:space="preserve"> 	A propósito de lo expuesto, y sin perjuicio de reconocer las limitaciones científicas de la función judicial en orden a la determinación exacta de un valor inmobiliario específico, no puedo dejar de señalar, en tanto máxima de experiencia, la existencia de un margen variable de valores usuales y normales en la cotización de plaza de las propiedades inmobiliarias, que forma parte del conocimiento público, y a partir del cual se desprende que el valor informado por el perito interviniente no resulta excesivo o fuera de los valores normales en relación al inmueble de referencia.</w:t>
      </w:r>
    </w:p>
    <w:p>
      <w:pPr>
        <w:pStyle w:val="[Normal]"/>
        <w:spacing w:line="480" w:lineRule="auto"/>
        <w:ind w:firstLine="1134"/>
        <w:jc w:val="both"/>
        <w:rPr>
          <w:b/>
          <w:lang w:val="es-AR" w:eastAsia="es-AR" w:bidi="es-AR"/>
        </w:rPr>
      </w:pPr>
      <w:r>
        <w:rPr>
          <w:lang w:val="es-AR" w:eastAsia="es-AR" w:bidi="es-AR"/>
        </w:rPr>
        <w:t xml:space="preserve">En este sentido, cabe apuntar que las máximas de experiencia son formulaciones de contenido general e independiente de los casos concretos en los cuales se aplican, tienen un valor autónomo y son invocables para la solución de otros casos. Bien ha dicho Carnelli en relación de las susodichas máximas, lo siguiente: </w:t>
      </w:r>
      <w:r>
        <w:rPr>
          <w:i/>
          <w:lang w:val="es-AR" w:eastAsia="es-AR" w:bidi="es-AR"/>
        </w:rPr>
        <w:t xml:space="preserve">“Las máximas de experiencia no son, en principio, objeto de prueba, desde que tampoco son objeto determinativo de la demanda. Prestan su concurso a los silogismos que el juez desarrolla en su actuación. En su naturaleza, por tanto, son una generalización lógica fundada en la observación de los hechos que, por la regularidad o normalidad con que se producen, obligan a creer en la existencia de un juicio lógico, una regla empírica, una relación causal. El juez puede adoptar, entonces, las máximas que juzgue oportunas, sin necesidad de prueba, mediante su ciencia privada, transportándolas directamente de la vida práctica y en mérito sólo del normal andamiento de los hechos a cuya categoría pertenece también el hecho que se discute”  (</w:t>
      </w:r>
      <w:r>
        <w:rPr>
          <w:lang w:val="es-AR" w:eastAsia="es-AR" w:bidi="es-AR"/>
        </w:rPr>
        <w:t xml:space="preserve">CARNELLI, Lorenzo, Las máximas de experiencia en el proceso de orden dispositivo, en Estudios de Derecho Procesal en honor de Hugo Alsina, Bs.As.1946, Ediar, pág. 126)" (conf. CAP causa N° 2750 Reg. N°139 del 4-10-2018)</w:t>
      </w:r>
      <w:r>
        <w:rPr>
          <w:i/>
          <w:lang w:val="es-AR" w:eastAsia="es-AR" w:bidi="es-AR"/>
        </w:rPr>
        <w:t xml:space="preserve">.</w:t>
      </w:r>
    </w:p>
    <w:p>
      <w:pPr>
        <w:pStyle w:val="[Normal]"/>
        <w:spacing w:line="480" w:lineRule="auto"/>
        <w:ind w:firstLine="1134"/>
        <w:jc w:val="both"/>
        <w:rPr>
          <w:b/>
          <w:color w:val="000000"/>
          <w:shd w:val="clear" w:fill="FFFFFF"/>
          <w:lang w:val="es-AR" w:eastAsia="es-AR" w:bidi="es-AR"/>
        </w:rPr>
      </w:pPr>
      <w:r>
        <w:rPr>
          <w:lang w:val="es-AR" w:eastAsia="es-AR" w:bidi="es-AR"/>
        </w:rPr>
        <w:t xml:space="preserve">Por todo lo expuesto, propongo al Acuerdo </w:t>
      </w:r>
      <w:r>
        <w:rPr>
          <w:color w:val="000000"/>
          <w:shd w:val="clear" w:fill="FFFFFF"/>
          <w:lang w:val="es-AR" w:eastAsia="es-AR" w:bidi="es-AR"/>
        </w:rPr>
        <w:t xml:space="preserve">se establezca como base regulatoria el valor determinado en la pericia de fs. 143/5 -$6.300.000-, teniendo en cuenta el interés puesto en juego por las partes en el pleito (equivalente al 10,75% del valor del bien).</w:t>
      </w:r>
    </w:p>
    <w:p>
      <w:pPr>
        <w:pStyle w:val="[Normal]"/>
        <w:spacing w:line="480" w:lineRule="auto"/>
        <w:ind w:firstLine="1134"/>
        <w:jc w:val="both"/>
        <w:rPr>
          <w:b/>
          <w:color w:val="000000"/>
          <w:shd w:val="clear" w:fill="FFFFFF"/>
          <w:lang w:val="es-AR" w:eastAsia="es-AR" w:bidi="es-AR"/>
        </w:rPr>
      </w:pPr>
      <w:r>
        <w:rPr>
          <w:lang w:val="es-AR" w:eastAsia="es-AR" w:bidi="es-AR"/>
        </w:rPr>
        <w:t xml:space="preserve">Consecuentemente, en función de la solución arribada pierde virtualidad el tratamiento de recurso deducido por el Dr. Juan María Carricart, </w:t>
      </w:r>
      <w:r>
        <w:rPr>
          <w:color w:val="000000"/>
          <w:shd w:val="clear" w:fill="FFFFFF"/>
          <w:lang w:val="es-AR" w:eastAsia="es-AR" w:bidi="es-AR"/>
        </w:rPr>
        <w:t xml:space="preserve">dado que al modificarse la base arancelaria de juicio</w:t>
      </w:r>
      <w:r>
        <w:rPr>
          <w:lang w:val="es-AR" w:eastAsia="es-AR" w:bidi="es-AR"/>
        </w:rPr>
        <w:t xml:space="preserve"> corresponde dejar sin efecto la regulación de los honorarios de letrados y peritos; y una vez remitido el expediente a primera instancia, proceder por el a-quo a realizar una nueva regulación conforme lo aquí resuelto.</w:t>
      </w:r>
    </w:p>
    <w:p>
      <w:pPr>
        <w:pStyle w:val="[Normal]"/>
        <w:spacing w:line="480" w:lineRule="auto"/>
        <w:ind w:firstLine="1134"/>
        <w:jc w:val="both"/>
        <w:rPr>
          <w:lang w:val="es-AR" w:eastAsia="es-AR" w:bidi="es-AR"/>
        </w:rPr>
      </w:pPr>
      <w:r>
        <w:rPr>
          <w:lang w:val="es-AR" w:eastAsia="es-AR" w:bidi="es-AR"/>
        </w:rPr>
        <w:t xml:space="preserve">No se establecen costas en esta instancia</w:t>
      </w:r>
      <w:r>
        <w:rPr>
          <w:color w:val="000000"/>
          <w:lang w:val="es-AR" w:eastAsia="es-AR" w:bidi="es-AR"/>
        </w:rPr>
        <w:t xml:space="preserve"> por cuanto "El procedimiento de regulación de honorarios no constituye juicio contradictorio de índole tal que genere costas por lo que el recurso deducido en aquel y los respectivos trabajos de Alzada no devengan honorarios" (confr. esta Cámara causas C-6245 RSI 3 del 6-2-08; Nº 1291 RSI 10 del 7/2/14, ent. ots.).-</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NEGATIVA.</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Hacer lugar al recurso deducido por la Dra. Teresita Matarazzo y en su mérito revocar en lo pertinente el decisorio atacado, estableciendo a sus efectos, la</w:t>
      </w:r>
      <w:r>
        <w:rPr>
          <w:lang w:val="es-AR" w:eastAsia="es-AR" w:bidi="es-AR"/>
        </w:rPr>
        <w:t xml:space="preserve"> base regulatoria en la suma de $6.300.000</w:t>
      </w:r>
      <w:r>
        <w:rPr>
          <w:b/>
          <w:color w:val="000000"/>
          <w:shd w:val="clear" w:fill="FFFFFF"/>
          <w:lang w:val="es-AR" w:eastAsia="es-AR" w:bidi="es-AR"/>
        </w:rPr>
        <w:t xml:space="preserve">, </w:t>
      </w:r>
      <w:r>
        <w:rPr>
          <w:color w:val="000000"/>
          <w:shd w:val="clear" w:fill="FFFFFF"/>
          <w:lang w:val="es-AR" w:eastAsia="es-AR" w:bidi="es-AR"/>
        </w:rPr>
        <w:t xml:space="preserve">teniendo en cuenta el interés puesto en juego por las partes en el pleito (equivalente al 10,75% del valor del bien)</w:t>
      </w:r>
      <w:r>
        <w:rPr>
          <w:lang w:val="es-AR" w:eastAsia="es-AR" w:bidi="es-AR"/>
        </w:rPr>
        <w:t xml:space="preserve">, debiendo el a-quo en función de la misma, proceder a practicar nueva regulación de honorarios a los letrados y al perito interviniente.</w:t>
      </w:r>
    </w:p>
    <w:p>
      <w:pPr>
        <w:pStyle w:val="[Normal]"/>
        <w:spacing w:line="480" w:lineRule="auto"/>
        <w:ind w:firstLine="1134"/>
        <w:jc w:val="both"/>
        <w:rPr>
          <w:lang w:val="es-AR" w:eastAsia="es-AR" w:bidi="es-AR"/>
        </w:rPr>
      </w:pPr>
      <w:r>
        <w:rPr>
          <w:lang w:val="es-AR" w:eastAsia="es-AR" w:bidi="es-AR"/>
        </w:rPr>
        <w:t xml:space="preserve">Declarar que carece de virtualidad el recurso deducido por la demandada (doctr. arts 242 </w:t>
      </w:r>
      <w:r>
        <w:rPr>
          <w:i/>
          <w:lang w:val="es-AR" w:eastAsia="es-AR" w:bidi="es-AR"/>
        </w:rPr>
        <w:t xml:space="preserve">a contrario sensu</w:t>
      </w:r>
      <w:r>
        <w:rPr>
          <w:lang w:val="es-AR" w:eastAsia="es-AR" w:bidi="es-AR"/>
        </w:rPr>
        <w:t xml:space="preserve">, 272 y ccs. del CPCC).</w:t>
      </w:r>
    </w:p>
    <w:p>
      <w:pPr>
        <w:pStyle w:val="[Normal]"/>
        <w:spacing w:line="480" w:lineRule="auto"/>
        <w:ind w:firstLine="850"/>
        <w:jc w:val="both"/>
        <w:rPr>
          <w:lang w:val="es-AR" w:eastAsia="es-AR" w:bidi="es-AR"/>
        </w:rPr>
      </w:pPr>
      <w:r>
        <w:rPr>
          <w:color w:val="000000"/>
          <w:lang w:val="es-AR" w:eastAsia="es-AR" w:bidi="es-AR"/>
        </w:rPr>
        <w:t xml:space="preserve">	Sin costas en esta instancia (arts. 68/9 </w:t>
      </w:r>
      <w:r>
        <w:rPr>
          <w:i/>
          <w:color w:val="000000"/>
          <w:lang w:val="es-AR" w:eastAsia="es-AR" w:bidi="es-AR"/>
        </w:rPr>
        <w:t xml:space="preserve">a contrario sensu </w:t>
      </w:r>
      <w:r>
        <w:rPr>
          <w:color w:val="000000"/>
          <w:lang w:val="es-AR" w:eastAsia="es-AR" w:bidi="es-AR"/>
        </w:rPr>
        <w:t xml:space="preserve">del CPCC).</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Hacer lugar al recurso deducido por la Dra. Teresita Matarazzo y en su mérito revocar en lo pertinente el decisorio atacado, estableciendo a sus efectos, la</w:t>
      </w:r>
      <w:r>
        <w:rPr>
          <w:lang w:val="es-AR" w:eastAsia="es-AR" w:bidi="es-AR"/>
        </w:rPr>
        <w:t xml:space="preserve"> base regulatoria en la suma de $6.300.000</w:t>
      </w:r>
      <w:r>
        <w:rPr>
          <w:b/>
          <w:color w:val="000000"/>
          <w:shd w:val="clear" w:fill="FFFFFF"/>
          <w:lang w:val="es-AR" w:eastAsia="es-AR" w:bidi="es-AR"/>
        </w:rPr>
        <w:t xml:space="preserve">, </w:t>
      </w:r>
      <w:r>
        <w:rPr>
          <w:color w:val="000000"/>
          <w:shd w:val="clear" w:fill="FFFFFF"/>
          <w:lang w:val="es-AR" w:eastAsia="es-AR" w:bidi="es-AR"/>
        </w:rPr>
        <w:t xml:space="preserve">teniendo en cuenta el interés puesto en juego por las partes en el pleito (equivalente al 10,75% del valor del bien)</w:t>
      </w:r>
      <w:r>
        <w:rPr>
          <w:lang w:val="es-AR" w:eastAsia="es-AR" w:bidi="es-AR"/>
        </w:rPr>
        <w:t xml:space="preserve">, debiendo el a-quo en función de la misma, proceder a practicar nueva regulación de honorarios a los letrados y al perito interviniente.</w:t>
      </w:r>
    </w:p>
    <w:p>
      <w:pPr>
        <w:pStyle w:val="[Normal]"/>
        <w:spacing w:line="480" w:lineRule="auto"/>
        <w:ind w:firstLine="1134"/>
        <w:jc w:val="both"/>
        <w:rPr>
          <w:lang w:val="es-AR" w:eastAsia="es-AR" w:bidi="es-AR"/>
        </w:rPr>
      </w:pPr>
      <w:r>
        <w:rPr>
          <w:lang w:val="es-AR" w:eastAsia="es-AR" w:bidi="es-AR"/>
        </w:rPr>
        <w:t xml:space="preserve">Declarar que carece de virtualidad el recurso deducido por la demandada (doctr. arts 242 </w:t>
      </w:r>
      <w:r>
        <w:rPr>
          <w:i/>
          <w:lang w:val="es-AR" w:eastAsia="es-AR" w:bidi="es-AR"/>
        </w:rPr>
        <w:t xml:space="preserve">a contrario sensu</w:t>
      </w:r>
      <w:r>
        <w:rPr>
          <w:lang w:val="es-AR" w:eastAsia="es-AR" w:bidi="es-AR"/>
        </w:rPr>
        <w:t xml:space="preserve">, 272 y ccs. del CPCC).</w:t>
      </w:r>
    </w:p>
    <w:p>
      <w:pPr>
        <w:pStyle w:val="[Normal]"/>
        <w:spacing w:line="480" w:lineRule="auto"/>
        <w:ind w:firstLine="1134"/>
        <w:jc w:val="both"/>
        <w:rPr>
          <w:lang w:val="es-AR" w:eastAsia="es-AR" w:bidi="es-AR"/>
        </w:rPr>
      </w:pPr>
      <w:r>
        <w:rPr>
          <w:color w:val="000000"/>
          <w:lang w:val="es-AR" w:eastAsia="es-AR" w:bidi="es-AR"/>
        </w:rPr>
        <w:t xml:space="preserve">Sin costas en esta instancia (arts. 68/9 </w:t>
      </w:r>
      <w:r>
        <w:rPr>
          <w:i/>
          <w:color w:val="000000"/>
          <w:lang w:val="es-AR" w:eastAsia="es-AR" w:bidi="es-AR"/>
        </w:rPr>
        <w:t xml:space="preserve">a contrario sensu </w:t>
      </w:r>
      <w:r>
        <w:rPr>
          <w:color w:val="000000"/>
          <w:lang w:val="es-AR" w:eastAsia="es-AR" w:bidi="es-AR"/>
        </w:rPr>
        <w:t xml:space="preserve">del CPCC).</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lang w:val="es-AR" w:eastAsia="es-AR" w:bidi="es-AR"/>
        </w:rPr>
      </w:pPr>
    </w:p>
    <w:p>
      <w:pPr>
        <w:pStyle w:val="[Normal]"/>
        <w:spacing w:line="480" w:lineRule="auto"/>
        <w:ind w:firstLine="1134"/>
        <w:jc w:val="both"/>
        <w:rPr>
          <w:color w:val="000000"/>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Graciela SCARAFFIA</w:t>
      </w:r>
    </w:p>
    <w:p>
      <w:pPr>
        <w:pStyle w:val="[Normal]"/>
        <w:ind w:firstLine="1134"/>
        <w:jc w:val="center"/>
        <w:rPr>
          <w:b/>
          <w:color w:val="000000"/>
          <w:sz w:val="20"/>
          <w:lang w:val="es-AR" w:eastAsia="es-AR" w:bidi="es-AR"/>
        </w:rPr>
      </w:pPr>
      <w:r>
        <w:rPr>
          <w:b/>
          <w:color w:val="000000"/>
          <w:sz w:val="20"/>
          <w:lang w:val="es-AR" w:eastAsia="es-AR" w:bidi="es-AR"/>
        </w:rPr>
        <w:t xml:space="preserve">Presidente Excma. Cámara de</w:t>
      </w:r>
    </w:p>
    <w:p>
      <w:pPr>
        <w:pStyle w:val="[Normal]"/>
        <w:ind w:firstLine="1134"/>
        <w:jc w:val="center"/>
        <w:rPr>
          <w:b/>
          <w:color w:val="000000"/>
          <w:sz w:val="20"/>
          <w:lang w:val="es-AR" w:eastAsia="es-AR" w:bidi="es-AR"/>
        </w:rPr>
      </w:pPr>
      <w:r>
        <w:rPr>
          <w:b/>
          <w:color w:val="000000"/>
          <w:sz w:val="20"/>
          <w:lang w:val="es-AR" w:eastAsia="es-AR" w:bidi="es-AR"/>
        </w:rPr>
        <w:t xml:space="preserve">Apelación en lo Civil y Comercial </w:t>
      </w:r>
    </w:p>
    <w:p>
      <w:pPr>
        <w:pStyle w:val="[Normal]"/>
        <w:ind w:firstLine="1134"/>
        <w:jc w:val="center"/>
        <w:rPr>
          <w:b/>
          <w:color w:val="000000"/>
          <w:sz w:val="20"/>
          <w:lang w:val="es-AR" w:eastAsia="es-AR" w:bidi="es-AR"/>
        </w:rPr>
      </w:pPr>
      <w:r>
        <w:rPr>
          <w:b/>
          <w:color w:val="000000"/>
          <w:sz w:val="20"/>
          <w:lang w:val="es-AR" w:eastAsia="es-AR" w:bidi="es-AR"/>
        </w:rPr>
        <w:t xml:space="preserve">Dpto. Judicial Pergamino</w:t>
      </w:r>
    </w:p>
    <w:p>
      <w:pPr>
        <w:pStyle w:val="[Normal]"/>
        <w:ind w:firstLine="1134"/>
        <w:jc w:val="both"/>
        <w:rPr>
          <w:b/>
          <w:color w:val="000000"/>
          <w:sz w:val="20"/>
          <w:lang w:val="es-AR" w:eastAsia="es-AR" w:bidi="es-AR"/>
        </w:rPr>
      </w:pPr>
    </w:p>
    <w:p>
      <w:pPr>
        <w:pStyle w:val="[Normal]"/>
        <w:ind w:firstLine="1134"/>
        <w:jc w:val="both"/>
        <w:rPr>
          <w:b/>
          <w:color w:val="000000"/>
          <w:sz w:val="20"/>
          <w:lang w:val="es-AR" w:eastAsia="es-AR" w:bidi="es-AR"/>
        </w:rPr>
      </w:pPr>
      <w:r>
        <w:rPr>
          <w:b/>
          <w:color w:val="000000"/>
          <w:sz w:val="20"/>
          <w:lang w:val="es-AR" w:eastAsia="es-AR" w:bidi="es-AR"/>
        </w:rPr>
        <w:t xml:space="preserve">Roberto Manuel DEGLEUE</w:t>
      </w:r>
    </w:p>
    <w:p>
      <w:pPr>
        <w:pStyle w:val="[Normal]"/>
        <w:ind w:firstLine="1134"/>
        <w:jc w:val="both"/>
        <w:rPr>
          <w:b/>
          <w:color w:val="000000"/>
          <w:sz w:val="20"/>
          <w:lang w:val="es-AR" w:eastAsia="es-AR" w:bidi="es-AR"/>
        </w:rPr>
      </w:pPr>
      <w:r>
        <w:rPr>
          <w:b/>
          <w:color w:val="000000"/>
          <w:sz w:val="20"/>
          <w:lang w:val="es-AR" w:eastAsia="es-AR" w:bidi="es-AR"/>
        </w:rPr>
        <w:t xml:space="preserve">                  Juez</w:t>
      </w: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Nicolás MARTINEZ</w:t>
      </w:r>
    </w:p>
    <w:p>
      <w:pPr>
        <w:pStyle w:val="[Normal]"/>
        <w:ind w:firstLine="1134"/>
        <w:jc w:val="center"/>
        <w:rPr>
          <w:color w:val="000000"/>
          <w:lang w:val="es-AR" w:eastAsia="es-AR" w:bidi="es-AR"/>
        </w:rPr>
      </w:pPr>
      <w:r>
        <w:rPr>
          <w:b/>
          <w:color w:val="000000"/>
          <w:sz w:val="20"/>
          <w:lang w:val="es-AR" w:eastAsia="es-AR" w:bidi="es-AR"/>
        </w:rPr>
        <w:t xml:space="preserve">Auxiliar Letrado</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