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spacing w:line="360" w:lineRule="auto"/>
        <w:rPr>
          <w:lang w:val="es-AR" w:eastAsia="es-AR" w:bidi="es-AR"/>
        </w:rPr>
      </w:pPr>
      <w:r>
        <w:rPr>
          <w:sz w:val="20"/>
          <w:lang w:val="es-AR" w:eastAsia="es-AR" w:bidi="es-AR"/>
        </w:rPr>
        <w:t xml:space="preserve"> </w:t>
      </w:r>
      <w:r>
        <w:rPr>
          <w:b/>
          <w:lang w:val="es-AR" w:eastAsia="es-AR" w:bidi="es-AR"/>
        </w:rPr>
        <w:t xml:space="preserve">Registro N°  165  /</w:t>
      </w:r>
      <w:r>
        <w:rPr>
          <w:b/>
          <w:color w:val="000000"/>
          <w:lang w:val="es-AR" w:eastAsia="es-AR" w:bidi="es-AR"/>
        </w:rPr>
        <w:t xml:space="preserve">2018</w:t>
      </w:r>
      <w:r>
        <w:rPr>
          <w:color w:val="000000"/>
          <w:lang w:val="es-AR" w:eastAsia="es-AR" w:bidi="es-AR"/>
        </w:rPr>
        <w:t xml:space="preserve"> </w:t>
      </w:r>
    </w:p>
    <w:p>
      <w:pPr>
        <w:pStyle w:val="[Normal]"/>
        <w:spacing w:line="360" w:lineRule="auto"/>
        <w:jc w:val="both"/>
        <w:rPr>
          <w:lang w:val="es-AR" w:eastAsia="es-AR" w:bidi="es-AR"/>
        </w:rPr>
      </w:pPr>
      <w:r>
        <w:rPr>
          <w:b/>
          <w:lang w:val="es-AR" w:eastAsia="es-AR" w:bidi="es-AR"/>
        </w:rPr>
        <w:t xml:space="preserve">	Fojas</w:t>
      </w:r>
      <w:r>
        <w:rPr>
          <w:lang w:val="es-AR" w:eastAsia="es-AR" w:bidi="es-AR"/>
        </w:rPr>
        <w:t xml:space="preserve">     769/772        </w:t>
      </w:r>
    </w:p>
    <w:p>
      <w:pPr>
        <w:pStyle w:val="[Normal]"/>
        <w:spacing w:line="360" w:lineRule="auto"/>
        <w:jc w:val="both"/>
        <w:rPr>
          <w:lang w:val="es-AR" w:eastAsia="es-AR" w:bidi="es-AR"/>
        </w:rPr>
      </w:pPr>
    </w:p>
    <w:p>
      <w:pPr>
        <w:pStyle w:val="[Normal]"/>
        <w:spacing w:line="480" w:lineRule="auto"/>
        <w:ind w:firstLine="1134"/>
        <w:jc w:val="both"/>
        <w:rPr>
          <w:lang w:val="es-AR" w:eastAsia="es-AR" w:bidi="es-AR"/>
        </w:rPr>
      </w:pPr>
      <w:r>
        <w:rPr>
          <w:lang w:val="es-AR" w:eastAsia="es-AR" w:bidi="es-AR"/>
        </w:rPr>
        <w:t xml:space="preserve">En la ciudad de Pergamino, el 12 de noviembre de </w:t>
      </w:r>
      <w:r>
        <w:rPr>
          <w:color w:val="000000"/>
          <w:lang w:val="es-AR" w:eastAsia="es-AR" w:bidi="es-AR"/>
        </w:rPr>
        <w:t xml:space="preserve">2018</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3467-18</w:t>
      </w:r>
      <w:r>
        <w:rPr>
          <w:lang w:val="es-AR" w:eastAsia="es-AR" w:bidi="es-AR"/>
        </w:rPr>
        <w:t xml:space="preserve"> caratulada </w:t>
      </w:r>
      <w:r>
        <w:rPr>
          <w:b/>
          <w:lang w:val="es-AR" w:eastAsia="es-AR" w:bidi="es-AR"/>
        </w:rPr>
        <w:t xml:space="preserve">"</w:t>
      </w:r>
      <w:r>
        <w:rPr>
          <w:b/>
          <w:color w:val="000000"/>
          <w:lang w:val="es-AR" w:eastAsia="es-AR" w:bidi="es-AR"/>
        </w:rPr>
        <w:t xml:space="preserve">MAC MAHON PATRICIO EDUARDO C/ CATALANI KARINA SUSANA S/ COMUNICACION CON LOS HIJOS</w:t>
      </w:r>
      <w:r>
        <w:rPr>
          <w:b/>
          <w:lang w:val="es-AR" w:eastAsia="es-AR" w:bidi="es-AR"/>
        </w:rPr>
        <w:t xml:space="preserve">"</w:t>
      </w:r>
      <w:r>
        <w:rPr>
          <w:lang w:val="es-AR" w:eastAsia="es-AR" w:bidi="es-AR"/>
        </w:rPr>
        <w:t xml:space="preserve">, Expte. </w:t>
      </w:r>
      <w:r>
        <w:rPr>
          <w:color w:val="000000"/>
          <w:lang w:val="es-AR" w:eastAsia="es-AR" w:bidi="es-AR"/>
        </w:rPr>
        <w:t xml:space="preserve">19.206</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de Familia N° 1,</w:t>
      </w:r>
      <w:r>
        <w:rPr>
          <w:lang w:val="es-AR" w:eastAsia="es-AR" w:bidi="es-AR"/>
        </w:rPr>
        <w:t xml:space="preserve"> se practicó el sorteo de ley que determinó que la votación debía efectuarse en el siguiente orden: Dres. Graciela Scaraffia y Roberto Degleue, y estudiados los autos se resolvió plantear y votar las siguientes: </w:t>
      </w:r>
    </w:p>
    <w:p>
      <w:pPr>
        <w:pStyle w:val="[Normal]"/>
        <w:spacing w:line="480" w:lineRule="auto"/>
        <w:ind w:firstLine="1134"/>
        <w:jc w:val="both"/>
        <w:rPr>
          <w:lang w:val="es-AR" w:eastAsia="es-AR" w:bidi="es-AR"/>
        </w:rPr>
      </w:pPr>
      <w:r>
        <w:rPr>
          <w:lang w:val="es-AR" w:eastAsia="es-AR" w:bidi="es-AR"/>
        </w:rPr>
        <w:t xml:space="preserve">C U E S T I O N E S:</w:t>
      </w:r>
    </w:p>
    <w:p>
      <w:pPr>
        <w:pStyle w:val="[Normal]"/>
        <w:spacing w:line="480" w:lineRule="auto"/>
        <w:ind w:firstLine="1134"/>
        <w:jc w:val="both"/>
        <w:rPr>
          <w:lang w:val="es-AR" w:eastAsia="es-AR" w:bidi="es-AR"/>
        </w:rPr>
      </w:pPr>
      <w:r>
        <w:rPr>
          <w:lang w:val="es-AR" w:eastAsia="es-AR" w:bidi="es-AR"/>
        </w:rPr>
        <w:t xml:space="preserve">I) ¿Se ajusta a derecho la sentencia apelada?</w:t>
      </w:r>
    </w:p>
    <w:p>
      <w:pPr>
        <w:pStyle w:val="[Normal]"/>
        <w:spacing w:line="480" w:lineRule="auto"/>
        <w:ind w:firstLine="1134"/>
        <w:jc w:val="both"/>
        <w:rPr>
          <w:lang w:val="es-AR" w:eastAsia="es-AR" w:bidi="es-AR"/>
        </w:rPr>
      </w:pPr>
      <w:r>
        <w:rPr>
          <w:lang w:val="es-AR" w:eastAsia="es-AR" w:bidi="es-AR"/>
        </w:rPr>
        <w:t xml:space="preserve">II) ¿Qué pronunciamiento corresponde dictar?</w:t>
      </w:r>
    </w:p>
    <w:p>
      <w:pPr>
        <w:pStyle w:val="[Normal]"/>
        <w:spacing w:line="48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480" w:lineRule="auto"/>
        <w:ind w:firstLine="1134"/>
        <w:jc w:val="both"/>
        <w:rPr>
          <w:lang w:val="es-AR" w:eastAsia="es-AR" w:bidi="es-AR"/>
        </w:rPr>
      </w:pPr>
      <w:r>
        <w:rPr>
          <w:lang w:val="es-AR" w:eastAsia="es-AR" w:bidi="es-AR"/>
        </w:rPr>
        <w:t xml:space="preserve">El Juez de la anterior instancia se declaró incompetente para intervenir en la presente causa, ordenando poner en conocimiento de ello a la Receptoría General de Expedientes departamental y dispuso la remisión al Juzgado de igual fuero y con jurisdicción sobre la localidad de Carpintería Provincia de San Luis.- </w:t>
      </w:r>
    </w:p>
    <w:p>
      <w:pPr>
        <w:pStyle w:val="[Normal]"/>
        <w:spacing w:line="480" w:lineRule="auto"/>
        <w:ind w:firstLine="1134"/>
        <w:jc w:val="both"/>
        <w:rPr>
          <w:lang w:val="es-AR" w:eastAsia="es-AR" w:bidi="es-AR"/>
        </w:rPr>
      </w:pPr>
      <w:r>
        <w:rPr>
          <w:lang w:val="es-AR" w:eastAsia="es-AR" w:bidi="es-AR"/>
        </w:rPr>
        <w:t xml:space="preserve">Tal decisorio fue objeto del recurso de apelación por parte de la actora a fs. 17 y concedido a fs 19, en relación y al solo efecto devolutivo, fundado a fs. 20/23.  A fs. 24 se dió vista a la Sra. Asesora de Incapaces, la que es evacuada a fs. 25/26.  A fs. 28 luce llamamiento de autos, providencia que firme a la fecha deja la causa en condiciones de ser fallada.</w:t>
      </w:r>
    </w:p>
    <w:p>
      <w:pPr>
        <w:pStyle w:val="[Normal]"/>
        <w:spacing w:line="480" w:lineRule="auto"/>
        <w:ind w:firstLine="1134"/>
        <w:jc w:val="both"/>
        <w:rPr>
          <w:lang w:val="es-AR" w:eastAsia="es-AR" w:bidi="es-AR"/>
        </w:rPr>
      </w:pPr>
      <w:r>
        <w:rPr>
          <w:lang w:val="es-AR" w:eastAsia="es-AR" w:bidi="es-AR"/>
        </w:rPr>
        <w:t xml:space="preserve">Se duele la quejosa señalando que le agravia la incompetencia decretada por el aquo, en cuanto traduce una vulneración al principio de tutela judicial efectiva, y que dentro de ese marco ubica "el principio inspirador del art. 716 del C.C.y C atinente a los procesos relativos a los derechos de los menores que establecen la competencia del juez en el lugar donde la persona menor de edad tiene su centro de vida".  Remarcando que ese centro de vida desde el nacimiento y hasta la mudanza impuesta por su progenitora fue la ciudad de Pergamino.-</w:t>
      </w:r>
    </w:p>
    <w:p>
      <w:pPr>
        <w:pStyle w:val="[Normal]"/>
        <w:spacing w:line="480" w:lineRule="auto"/>
        <w:ind w:firstLine="1134"/>
        <w:jc w:val="both"/>
        <w:rPr>
          <w:lang w:val="es-AR" w:eastAsia="es-AR" w:bidi="es-AR"/>
        </w:rPr>
      </w:pPr>
      <w:r>
        <w:rPr>
          <w:lang w:val="es-AR" w:eastAsia="es-AR" w:bidi="es-AR"/>
        </w:rPr>
        <w:t xml:space="preserve">Aduna que este Juez ya ha tomado intervención en el conflicto relativo al régimen de contacto en sentencia del 1 de marzo de 2017 confirmada por este Tribunal el 13 de Junio de 2017 en la Causa N° 14.367.-</w:t>
      </w:r>
    </w:p>
    <w:p>
      <w:pPr>
        <w:pStyle w:val="[Normal]"/>
        <w:spacing w:line="480" w:lineRule="auto"/>
        <w:ind w:firstLine="1134"/>
        <w:jc w:val="both"/>
        <w:rPr>
          <w:lang w:val="es-AR" w:eastAsia="es-AR" w:bidi="es-AR"/>
        </w:rPr>
      </w:pPr>
      <w:r>
        <w:rPr>
          <w:lang w:val="es-AR" w:eastAsia="es-AR" w:bidi="es-AR"/>
        </w:rPr>
        <w:t xml:space="preserve">Y menciona que en la misma se intima a la progenitora a dar estricto cumplimiento al régimen de contacto dispuesto.  Señala que no ha cesado la intervención del Juez de Familia porque ha quedado como guardían de ese contacto paterno filial, y remarcando que la elección del magistrado que intervenga debe hacerse evaluando quien cuenta con los mejores elementos para alcanzar la tutela judicial integral y efectiva de los derechos del niño.-</w:t>
      </w:r>
    </w:p>
    <w:p>
      <w:pPr>
        <w:pStyle w:val="[Normal]"/>
        <w:spacing w:line="480" w:lineRule="auto"/>
        <w:ind w:firstLine="1134"/>
        <w:jc w:val="both"/>
        <w:rPr>
          <w:lang w:val="es-AR" w:eastAsia="es-AR" w:bidi="es-AR"/>
        </w:rPr>
      </w:pPr>
      <w:r>
        <w:rPr>
          <w:lang w:val="es-AR" w:eastAsia="es-AR" w:bidi="es-AR"/>
        </w:rPr>
        <w:t xml:space="preserve">Expresa que hace 4 meses que no tiene contacto con el niño puesto que no lo traen a Pergamino y le resulta difícil ubicarlo ya que mudan constantemente su domicilio.  A eso le suma que ha perdido contacto telefónico  ya que el  celular que le reglara le informaron que lo perdió o se rompió.-</w:t>
      </w:r>
    </w:p>
    <w:p>
      <w:pPr>
        <w:pStyle w:val="[Normal]"/>
        <w:spacing w:line="480" w:lineRule="auto"/>
        <w:ind w:firstLine="1134"/>
        <w:jc w:val="both"/>
        <w:rPr>
          <w:lang w:val="es-AR" w:eastAsia="es-AR" w:bidi="es-AR"/>
        </w:rPr>
      </w:pPr>
      <w:r>
        <w:rPr>
          <w:lang w:val="es-AR" w:eastAsia="es-AR" w:bidi="es-AR"/>
        </w:rPr>
        <w:t xml:space="preserve">Dice que trasladar la competencia a otro juzgado es favorecer la conducta obstructiva de la progenitora, lo cual se advirtió al interponer la medida cautelar de no innovar que fuera resuelta en el expediente mencionado.-</w:t>
      </w:r>
    </w:p>
    <w:p>
      <w:pPr>
        <w:pStyle w:val="[Normal]"/>
        <w:spacing w:line="480" w:lineRule="auto"/>
        <w:ind w:firstLine="1134"/>
        <w:jc w:val="both"/>
        <w:rPr>
          <w:lang w:val="es-AR" w:eastAsia="es-AR" w:bidi="es-AR"/>
        </w:rPr>
      </w:pPr>
      <w:r>
        <w:rPr>
          <w:lang w:val="es-AR" w:eastAsia="es-AR" w:bidi="es-AR"/>
        </w:rPr>
        <w:t xml:space="preserve">A fs. 25 luce dictamen de la Sra. Asesora de Incapaces.-</w:t>
      </w:r>
    </w:p>
    <w:p>
      <w:pPr>
        <w:pStyle w:val="[Normal]"/>
        <w:spacing w:line="480" w:lineRule="auto"/>
        <w:ind w:firstLine="1134"/>
        <w:jc w:val="both"/>
        <w:rPr>
          <w:lang w:val="es-AR" w:eastAsia="es-AR" w:bidi="es-AR"/>
        </w:rPr>
      </w:pPr>
      <w:r>
        <w:rPr>
          <w:lang w:val="es-AR" w:eastAsia="es-AR" w:bidi="es-AR"/>
        </w:rPr>
        <w:t xml:space="preserve">Entrando a resolver liminarmente he de señalar que el punto de agravios que versa sobre la interpretación del centro de vida, el concepto del mismo y la aplicación  en este caso concreto ya ha sido analizado y resuelto en el proceso de medidas cautelares interpuesto por el progenitor y que recibiera decisión de este Tribunal de Alzada en fecha 13 de junio de 2017.-</w:t>
      </w:r>
    </w:p>
    <w:p>
      <w:pPr>
        <w:pStyle w:val="[Normal]"/>
        <w:spacing w:line="480" w:lineRule="auto"/>
        <w:ind w:firstLine="1134"/>
        <w:jc w:val="both"/>
        <w:rPr>
          <w:lang w:val="es-AR" w:eastAsia="es-AR" w:bidi="es-AR"/>
        </w:rPr>
      </w:pPr>
      <w:r>
        <w:rPr>
          <w:lang w:val="es-AR" w:eastAsia="es-AR" w:bidi="es-AR"/>
        </w:rPr>
        <w:t xml:space="preserve">De tal modo que las premisas que hoy la quejosa pretende reeditar como subyacentes al punto de competencia, ya han sido analizadas y decididas en cuanto a que el "centro de vida" no es un concepto geográfico o territorial sino normativo, y que por tal motivo deben conjugarse las distintas pruebas de expertos brindadas en aquella causa así como la prueba producida que llevaron a interpretar en el marco de la anterior cuestión suscitada,  la necesidad de que se consolidara  la nueva situación del menor con su madre y hermanos en otro lugar, todo ello a tenor de la normativa prevista en el art. 75 inc. 22 Constitución Nacional, arts. 7, 638, 639, 640, 646, 648, 649, 652, 653, 658, 661 del Nuevo Código Civil y Comercial de la Nación y art. 384 del CPCC.-</w:t>
      </w:r>
    </w:p>
    <w:p>
      <w:pPr>
        <w:pStyle w:val="[Normal]"/>
        <w:spacing w:line="480" w:lineRule="auto"/>
        <w:ind w:firstLine="1134"/>
        <w:jc w:val="both"/>
        <w:rPr>
          <w:lang w:val="es-AR" w:eastAsia="es-AR" w:bidi="es-AR"/>
        </w:rPr>
      </w:pPr>
      <w:r>
        <w:rPr>
          <w:lang w:val="es-AR" w:eastAsia="es-AR" w:bidi="es-AR"/>
        </w:rPr>
        <w:t xml:space="preserve">De aquello se desprende que efectivamente el menor, su madre, sus hermanos y su nueva pareja mudaron su domicilio a la Provincia de San Luis dentro del marco de un análisis probatorio que comprendió la producción de pericias psicológicas y ambientales que se evaluaron con la toma de la decisión y que a tenor de esos elementos se definió el centro de vida.  Por ende, la queja que versa sobre este punto   ha de ser desestimada.-</w:t>
      </w:r>
    </w:p>
    <w:p>
      <w:pPr>
        <w:pStyle w:val="[Normal]"/>
        <w:spacing w:line="480" w:lineRule="auto"/>
        <w:ind w:firstLine="1134"/>
        <w:jc w:val="both"/>
        <w:rPr>
          <w:lang w:val="es-AR" w:eastAsia="es-AR" w:bidi="es-AR"/>
        </w:rPr>
      </w:pPr>
      <w:r>
        <w:rPr>
          <w:lang w:val="es-AR" w:eastAsia="es-AR" w:bidi="es-AR"/>
        </w:rPr>
        <w:t xml:space="preserve">Pero ello no impide  del mismo modo que en la ocasión aludida que el derecho de comunicación que hoy reclama el progenitor sea absorbido en esta jurisdicción a título cautelar en los términos del art. 196 del CPCC, como bien lo interpreta la Sra. Asesora de Incapaces, porque en aquella resolución tal como lo dice atinadamente la letrada, se le impuso a la progenitora el cumplimiento y facilitación de contacto con el padre no conviviente.-</w:t>
      </w:r>
    </w:p>
    <w:p>
      <w:pPr>
        <w:pStyle w:val="[Normal]"/>
        <w:spacing w:line="480" w:lineRule="auto"/>
        <w:ind w:firstLine="1134"/>
        <w:jc w:val="both"/>
        <w:rPr>
          <w:lang w:val="es-AR" w:eastAsia="es-AR" w:bidi="es-AR"/>
        </w:rPr>
      </w:pPr>
      <w:r>
        <w:rPr>
          <w:lang w:val="es-AR" w:eastAsia="es-AR" w:bidi="es-AR"/>
        </w:rPr>
        <w:t xml:space="preserve">Es que a tenor del art. 652 del CCyC donde se prevé como directiva una fluida comunicación del progenitor con el hijo, en vista de la importancia de los intereses en cuestión, los procesos que conciernen a los derechos de niños deben ser dirigidos con celeridad y diligencia, dado que el transcurso del tiempo puede determinar el carácter irreversible o irremediable de situaciones de hecho y perjudicar los intereses de los menores a medida que crecen.-</w:t>
      </w:r>
    </w:p>
    <w:p>
      <w:pPr>
        <w:pStyle w:val="[Normal]"/>
        <w:spacing w:line="480" w:lineRule="auto"/>
        <w:ind w:firstLine="1134"/>
        <w:jc w:val="both"/>
        <w:rPr>
          <w:lang w:val="es-AR" w:eastAsia="es-AR" w:bidi="es-AR"/>
        </w:rPr>
      </w:pPr>
      <w:r>
        <w:rPr>
          <w:lang w:val="es-AR" w:eastAsia="es-AR" w:bidi="es-AR"/>
        </w:rPr>
        <w:t xml:space="preserve">Desde esta perspectiva, si bien la intervención anterior de esta jurisdicción lo fue con el alcance cautelar, allí se fijaron obligaciones por parte de la progenitora, esto es garantizar un deber de contacto del niño con el padre hoy reclamante, de modo tal, que como bien lo señala la representante del Ministerio Pupilar, en este marco, </w:t>
      </w:r>
      <w:r>
        <w:rPr>
          <w:b/>
          <w:lang w:val="es-AR" w:eastAsia="es-AR" w:bidi="es-AR"/>
        </w:rPr>
        <w:t xml:space="preserve">y antes de remitir las actuaciones a la Provincia de San Luis</w:t>
      </w:r>
      <w:r>
        <w:rPr>
          <w:lang w:val="es-AR" w:eastAsia="es-AR" w:bidi="es-AR"/>
        </w:rPr>
        <w:t xml:space="preserve">, deberá el Juez de Familia arbitrar los medios para localizar el domicilio actual del niño y su familia, a fin de procurar el contacto telefónico y/o personal del padre con su hijo . Sin olvidar que en aquella decisión fue el padre quien se comprometió a viajar al pueblo de Carpintería (Merlo) avisando previamente a la progenitora para visitar al niño.  Todo esto dentro del plazo acotado y perentorio que la cuestión impone y como medida cautelar.-</w:t>
      </w:r>
    </w:p>
    <w:p>
      <w:pPr>
        <w:pStyle w:val="[Normal]"/>
        <w:spacing w:line="480" w:lineRule="auto"/>
        <w:ind w:firstLine="1134"/>
        <w:jc w:val="both"/>
        <w:rPr>
          <w:lang w:val="es-AR" w:eastAsia="es-AR" w:bidi="es-AR"/>
        </w:rPr>
      </w:pPr>
      <w:r>
        <w:rPr>
          <w:lang w:val="es-AR" w:eastAsia="es-AR" w:bidi="es-AR"/>
        </w:rPr>
        <w:t xml:space="preserve">La nueva normativa prevista a partir de los arts. 652, 653, 642 y ccs del nuevo Código Civil y Comercial de la Nación  faculta al Juez ante los desacuerdos reiterados o cuando concurran cualquier otra causa que entorpezca gravemente el ejercicio de la responsabilidad parental, a ordenar la distribución de funciones en su ejercicio (art. 642 del CCyC).-</w:t>
      </w:r>
    </w:p>
    <w:p>
      <w:pPr>
        <w:pStyle w:val="[Normal]"/>
        <w:spacing w:line="48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480" w:lineRule="auto"/>
        <w:ind w:firstLine="1134"/>
        <w:jc w:val="both"/>
        <w:rPr>
          <w:lang w:val="es-AR" w:eastAsia="es-AR" w:bidi="es-AR"/>
        </w:rPr>
      </w:pPr>
      <w:r>
        <w:rPr>
          <w:b/>
          <w:lang w:val="es-AR" w:eastAsia="es-AR" w:bidi="es-AR"/>
        </w:rPr>
        <w:t xml:space="preserve">VOTO POR LA AFIRMATIVA</w:t>
      </w:r>
    </w:p>
    <w:p>
      <w:pPr>
        <w:pStyle w:val="[Normal]"/>
        <w:spacing w:line="48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48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480" w:lineRule="auto"/>
        <w:ind w:firstLine="1134"/>
        <w:jc w:val="both"/>
        <w:rPr>
          <w:lang w:val="es-AR" w:eastAsia="es-AR" w:bidi="es-AR"/>
        </w:rPr>
      </w:pPr>
      <w:r>
        <w:rPr>
          <w:lang w:val="es-AR" w:eastAsia="es-AR" w:bidi="es-AR"/>
        </w:rPr>
        <w:t xml:space="preserve">Desestimar el recurso de apelación deducido por el progenitor en punto a la declaración de incompetencia la que desde aquí se confirma.  Pero antes de remitir el expediente, ordenar que el Juez de Familia arbitre los medios para localizar el domicilio, a fin de procurar  el contacto del padre con el menor tomando aquellas medidas conducentes a ese fin, todo ello como cautelar y tal como lo señala la Asesora de Incapaces en su dictamen.-</w:t>
      </w:r>
    </w:p>
    <w:p>
      <w:pPr>
        <w:pStyle w:val="[Normal]"/>
        <w:spacing w:line="480" w:lineRule="auto"/>
        <w:ind w:firstLine="1134"/>
        <w:jc w:val="both"/>
        <w:rPr>
          <w:lang w:val="es-AR" w:eastAsia="es-AR" w:bidi="es-AR"/>
        </w:rPr>
      </w:pPr>
      <w:r>
        <w:rPr>
          <w:b/>
          <w:lang w:val="es-AR" w:eastAsia="es-AR" w:bidi="es-AR"/>
        </w:rPr>
        <w:t xml:space="preserve">ASI LO VOTO</w:t>
      </w:r>
      <w:r>
        <w:rPr>
          <w:lang w:val="es-AR" w:eastAsia="es-AR" w:bidi="es-AR"/>
        </w:rPr>
        <w:t xml:space="preserve">. </w:t>
      </w:r>
    </w:p>
    <w:p>
      <w:pPr>
        <w:pStyle w:val="[Normal]"/>
        <w:spacing w:line="48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48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480" w:lineRule="auto"/>
        <w:ind w:firstLine="1134"/>
        <w:jc w:val="both"/>
        <w:rPr>
          <w:lang w:val="es-AR" w:eastAsia="es-AR" w:bidi="es-AR"/>
        </w:rPr>
      </w:pPr>
      <w:r>
        <w:rPr>
          <w:b/>
          <w:lang w:val="es-AR" w:eastAsia="es-AR" w:bidi="es-AR"/>
        </w:rPr>
        <w:t xml:space="preserve">S E N T E N C I A</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Desestimar el recurso de apelación deducido por el progenitor en punto a la declaración de incompetencia la que desde aquí se confirma.  Pero antes de remitir el expediente, ordenar que el Juez de Familia arbitre los medios para localizar el domicilio, a fin de procurar  el contacto del padre con el menor tomando aquellas medidas conducentes a ese fin, todo ello como cautelar y tal como lo señala la Asesora de Incapaces en su dictamen.-</w:t>
      </w:r>
    </w:p>
    <w:p>
      <w:pPr>
        <w:pStyle w:val="[Normal]"/>
        <w:spacing w:line="480" w:lineRule="auto"/>
        <w:ind w:firstLine="1134"/>
        <w:jc w:val="both"/>
        <w:rPr>
          <w:lang w:val="es-AR" w:eastAsia="es-AR" w:bidi="es-AR"/>
        </w:rPr>
      </w:pPr>
      <w:r>
        <w:rPr>
          <w:lang w:val="es-AR" w:eastAsia="es-AR" w:bidi="es-AR"/>
        </w:rPr>
        <w:t xml:space="preserve">Regístrese. Notifíquese. Devuélvase.-</w:t>
      </w:r>
    </w:p>
    <w:p>
      <w:pPr>
        <w:pStyle w:val="[Normal]"/>
        <w:ind w:firstLine="1134"/>
        <w:jc w:val="center"/>
        <w:rPr>
          <w:color w:val="000000"/>
          <w:sz w:val="18"/>
          <w:lang w:val="es-AR" w:eastAsia="es-AR" w:bidi="es-AR"/>
        </w:rPr>
      </w:pPr>
    </w:p>
    <w:p>
      <w:pPr>
        <w:pStyle w:val="[Normal]"/>
        <w:ind w:firstLine="1134"/>
        <w:jc w:val="center"/>
        <w:rPr>
          <w:color w:val="000000"/>
          <w:sz w:val="18"/>
          <w:lang w:val="es-AR" w:eastAsia="es-AR" w:bidi="es-AR"/>
        </w:rPr>
      </w:pPr>
    </w:p>
    <w:p>
      <w:pPr>
        <w:pStyle w:val="[Normal]"/>
        <w:ind w:firstLine="1134"/>
        <w:jc w:val="center"/>
        <w:rPr>
          <w:color w:val="000000"/>
          <w:sz w:val="18"/>
          <w:lang w:val="es-AR" w:eastAsia="es-AR" w:bidi="es-AR"/>
        </w:rPr>
      </w:pPr>
    </w:p>
    <w:p>
      <w:pPr>
        <w:pStyle w:val="[Normal]"/>
        <w:ind w:firstLine="1134"/>
        <w:jc w:val="center"/>
        <w:rPr>
          <w:color w:val="000000"/>
          <w:sz w:val="18"/>
          <w:lang w:val="es-AR" w:eastAsia="es-AR" w:bidi="es-AR"/>
        </w:rPr>
      </w:pPr>
      <w:r>
        <w:rPr>
          <w:color w:val="000000"/>
          <w:sz w:val="18"/>
          <w:lang w:val="es-AR" w:eastAsia="es-AR" w:bidi="es-AR"/>
        </w:rPr>
        <w:t xml:space="preserve">Graciela SCARAFFIA</w:t>
      </w:r>
    </w:p>
    <w:p>
      <w:pPr>
        <w:pStyle w:val="[Normal]"/>
        <w:ind w:firstLine="1134"/>
        <w:jc w:val="center"/>
        <w:rPr>
          <w:color w:val="000000"/>
          <w:sz w:val="18"/>
          <w:lang w:val="es-AR" w:eastAsia="es-AR" w:bidi="es-AR"/>
        </w:rPr>
      </w:pPr>
      <w:r>
        <w:rPr>
          <w:color w:val="000000"/>
          <w:sz w:val="18"/>
          <w:lang w:val="es-AR" w:eastAsia="es-AR" w:bidi="es-AR"/>
        </w:rPr>
        <w:t xml:space="preserve">Presidente Excma. Cámara de</w:t>
      </w:r>
    </w:p>
    <w:p>
      <w:pPr>
        <w:pStyle w:val="[Normal]"/>
        <w:ind w:firstLine="1134"/>
        <w:jc w:val="center"/>
        <w:rPr>
          <w:color w:val="000000"/>
          <w:sz w:val="18"/>
          <w:lang w:val="es-AR" w:eastAsia="es-AR" w:bidi="es-AR"/>
        </w:rPr>
      </w:pPr>
      <w:r>
        <w:rPr>
          <w:color w:val="000000"/>
          <w:sz w:val="18"/>
          <w:lang w:val="es-AR" w:eastAsia="es-AR" w:bidi="es-AR"/>
        </w:rPr>
        <w:t xml:space="preserve">Apelación en lo Civil y Comercial </w:t>
      </w:r>
    </w:p>
    <w:p>
      <w:pPr>
        <w:pStyle w:val="[Normal]"/>
        <w:ind w:firstLine="1134"/>
        <w:jc w:val="center"/>
        <w:rPr>
          <w:color w:val="000000"/>
          <w:sz w:val="18"/>
          <w:lang w:val="es-AR" w:eastAsia="es-AR" w:bidi="es-AR"/>
        </w:rPr>
      </w:pPr>
      <w:r>
        <w:rPr>
          <w:color w:val="000000"/>
          <w:sz w:val="18"/>
          <w:lang w:val="es-AR" w:eastAsia="es-AR" w:bidi="es-AR"/>
        </w:rPr>
        <w:t xml:space="preserve">Dpto. Judicial Pergamino</w:t>
      </w:r>
    </w:p>
    <w:p>
      <w:pPr>
        <w:pStyle w:val="[Normal]"/>
        <w:ind w:firstLine="1134"/>
        <w:jc w:val="center"/>
        <w:rPr>
          <w:color w:val="000000"/>
          <w:sz w:val="18"/>
          <w:lang w:val="es-AR" w:eastAsia="es-AR" w:bidi="es-AR"/>
        </w:rPr>
      </w:pPr>
    </w:p>
    <w:p>
      <w:pPr>
        <w:pStyle w:val="[Normal]"/>
        <w:ind w:firstLine="1134"/>
        <w:jc w:val="center"/>
        <w:rPr>
          <w:color w:val="000000"/>
          <w:sz w:val="18"/>
          <w:lang w:val="es-AR" w:eastAsia="es-AR" w:bidi="es-AR"/>
        </w:rPr>
      </w:pPr>
    </w:p>
    <w:p>
      <w:pPr>
        <w:pStyle w:val="[Normal]"/>
        <w:ind w:firstLine="1134"/>
        <w:rPr>
          <w:color w:val="000000"/>
          <w:sz w:val="18"/>
          <w:lang w:val="es-AR" w:eastAsia="es-AR" w:bidi="es-AR"/>
        </w:rPr>
      </w:pPr>
      <w:r>
        <w:rPr>
          <w:color w:val="000000"/>
          <w:sz w:val="18"/>
          <w:lang w:val="es-AR" w:eastAsia="es-AR" w:bidi="es-AR"/>
        </w:rPr>
        <w:t xml:space="preserve">Roberto Manuel DEGLEUE</w:t>
      </w:r>
    </w:p>
    <w:p>
      <w:pPr>
        <w:pStyle w:val="[Normal]"/>
        <w:ind w:firstLine="1134"/>
        <w:rPr>
          <w:color w:val="000000"/>
          <w:sz w:val="18"/>
          <w:lang w:val="es-AR" w:eastAsia="es-AR" w:bidi="es-AR"/>
        </w:rPr>
      </w:pPr>
      <w:r>
        <w:rPr>
          <w:color w:val="000000"/>
          <w:sz w:val="18"/>
          <w:lang w:val="es-AR" w:eastAsia="es-AR" w:bidi="es-AR"/>
        </w:rPr>
        <w:t xml:space="preserve">           Juez</w:t>
      </w:r>
    </w:p>
    <w:p>
      <w:pPr>
        <w:pStyle w:val="[Normal]"/>
        <w:ind w:firstLine="1134"/>
        <w:jc w:val="center"/>
        <w:rPr>
          <w:color w:val="000000"/>
          <w:sz w:val="18"/>
          <w:lang w:val="es-AR" w:eastAsia="es-AR" w:bidi="es-AR"/>
        </w:rPr>
      </w:pPr>
    </w:p>
    <w:p>
      <w:pPr>
        <w:pStyle w:val="[Normal]"/>
        <w:ind w:firstLine="1134"/>
        <w:jc w:val="center"/>
        <w:rPr>
          <w:color w:val="000000"/>
          <w:sz w:val="18"/>
          <w:lang w:val="es-AR" w:eastAsia="es-AR" w:bidi="es-AR"/>
        </w:rPr>
      </w:pPr>
    </w:p>
    <w:p>
      <w:pPr>
        <w:pStyle w:val="[Normal]"/>
        <w:ind w:firstLine="1134"/>
        <w:jc w:val="center"/>
        <w:rPr>
          <w:color w:val="000000"/>
          <w:sz w:val="18"/>
          <w:lang w:val="es-AR" w:eastAsia="es-AR" w:bidi="es-AR"/>
        </w:rPr>
      </w:pPr>
    </w:p>
    <w:p>
      <w:pPr>
        <w:pStyle w:val="[Normal]"/>
        <w:ind w:firstLine="1134"/>
        <w:jc w:val="center"/>
        <w:rPr>
          <w:color w:val="000000"/>
          <w:sz w:val="18"/>
          <w:lang w:val="es-AR" w:eastAsia="es-AR" w:bidi="es-AR"/>
        </w:rPr>
      </w:pPr>
      <w:r>
        <w:rPr>
          <w:color w:val="000000"/>
          <w:sz w:val="18"/>
          <w:lang w:val="es-AR" w:eastAsia="es-AR" w:bidi="es-AR"/>
        </w:rPr>
        <w:t xml:space="preserve">Nicolás MARTINEZ</w:t>
      </w:r>
    </w:p>
    <w:p>
      <w:pPr>
        <w:pStyle w:val="[Normal]"/>
        <w:ind w:firstLine="1134"/>
        <w:jc w:val="center"/>
        <w:rPr>
          <w:color w:val="000000"/>
          <w:sz w:val="18"/>
          <w:lang w:val="es-AR" w:eastAsia="es-AR" w:bidi="es-AR"/>
        </w:rPr>
      </w:pPr>
      <w:r>
        <w:rPr>
          <w:color w:val="000000"/>
          <w:sz w:val="18"/>
          <w:lang w:val="es-AR" w:eastAsia="es-AR" w:bidi="es-AR"/>
        </w:rPr>
        <w:t xml:space="preserve">Auxiliar Letrado</w:t>
      </w:r>
    </w:p>
    <w:p>
      <w:pPr>
        <w:pStyle w:val="[Normal]"/>
        <w:spacing w:line="480" w:lineRule="auto"/>
        <w:ind w:firstLine="1134"/>
        <w:jc w:val="center"/>
        <w:rPr>
          <w:color w:val="000000"/>
          <w:lang w:val="es-AR" w:eastAsia="es-AR" w:bidi="es-AR"/>
        </w:rPr>
      </w:pPr>
    </w:p>
    <w:p>
      <w:pPr>
        <w:pStyle w:val="[Normal]"/>
        <w:rPr>
          <w:color w:val="000000"/>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s>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5" Type="http://schemas.openxmlformats.org/officeDocument/2006/relationships/fontTable" Target="fontTable.xml"/>
	<Relationship Id="rId0000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