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color w:val="000000"/>
          <w:lang w:val="es-AR" w:eastAsia="es-AR" w:bidi="es-AR"/>
        </w:rPr>
      </w:pPr>
      <w:r>
        <w:rPr>
          <w:sz w:val="20"/>
          <w:lang w:val="es-AR" w:eastAsia="es-AR" w:bidi="es-AR"/>
        </w:rPr>
        <w:t xml:space="preserve"> </w:t>
      </w:r>
      <w:r>
        <w:rPr>
          <w:b/>
          <w:lang w:val="es-AR" w:eastAsia="es-AR" w:bidi="es-AR"/>
        </w:rPr>
        <w:t xml:space="preserve">Registro N°   174  /</w:t>
      </w:r>
      <w:r>
        <w:rPr>
          <w:b/>
          <w:color w:val="000000"/>
          <w:lang w:val="es-AR" w:eastAsia="es-AR" w:bidi="es-AR"/>
        </w:rPr>
        <w:t xml:space="preserve">2018</w:t>
      </w:r>
      <w:r>
        <w:rPr>
          <w:color w:val="000000"/>
          <w:lang w:val="es-AR" w:eastAsia="es-AR" w:bidi="es-AR"/>
        </w:rPr>
        <w:t xml:space="preserve"> </w:t>
      </w:r>
    </w:p>
    <w:p>
      <w:pPr>
        <w:pStyle w:val="[Normal]"/>
        <w:spacing w:line="360" w:lineRule="auto"/>
        <w:rPr>
          <w:lang w:val="es-AR" w:eastAsia="es-AR" w:bidi="es-AR"/>
        </w:rPr>
      </w:pP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818/819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22  de  Noviembre  de </w:t>
      </w:r>
      <w:r>
        <w:rPr>
          <w:color w:val="000000"/>
          <w:lang w:val="es-AR" w:eastAsia="es-AR" w:bidi="es-AR"/>
        </w:rPr>
        <w:t xml:space="preserve">2018</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3302-18</w:t>
      </w:r>
      <w:r>
        <w:rPr>
          <w:lang w:val="es-AR" w:eastAsia="es-AR" w:bidi="es-AR"/>
        </w:rPr>
        <w:t xml:space="preserve"> caratulada </w:t>
      </w:r>
      <w:r>
        <w:rPr>
          <w:b/>
          <w:lang w:val="es-AR" w:eastAsia="es-AR" w:bidi="es-AR"/>
        </w:rPr>
        <w:t xml:space="preserve">"</w:t>
      </w:r>
      <w:r>
        <w:rPr>
          <w:b/>
          <w:color w:val="000000"/>
          <w:lang w:val="es-AR" w:eastAsia="es-AR" w:bidi="es-AR"/>
        </w:rPr>
        <w:t xml:space="preserve">DODDI EDUARDO OSCAR  C/ BANCO DE LA PROVINCIA DE BUENOS AIRES S/ EJECUCION HONORARIOS</w:t>
      </w:r>
      <w:r>
        <w:rPr>
          <w:b/>
          <w:lang w:val="es-AR" w:eastAsia="es-AR" w:bidi="es-AR"/>
        </w:rPr>
        <w:t xml:space="preserve">"</w:t>
      </w:r>
      <w:r>
        <w:rPr>
          <w:lang w:val="es-AR" w:eastAsia="es-AR" w:bidi="es-AR"/>
        </w:rPr>
        <w:t xml:space="preserve">, Expte. </w:t>
      </w:r>
      <w:r>
        <w:rPr>
          <w:color w:val="000000"/>
          <w:lang w:val="es-AR" w:eastAsia="es-AR" w:bidi="es-AR"/>
        </w:rPr>
        <w:t xml:space="preserve">81.428</w:t>
      </w:r>
      <w:r>
        <w:rPr>
          <w:color w:val="000000"/>
          <w:lang w:val="es-AR" w:eastAsia="es-AR" w:bidi="es-AR"/>
        </w:rPr>
        <w:t xml:space="preserve"> </w:t>
      </w:r>
      <w:r>
        <w:rPr>
          <w:lang w:val="es-AR" w:eastAsia="es-AR" w:bidi="es-AR"/>
        </w:rPr>
        <w:t xml:space="preserve">del Juzgado en lo Civil y Comercial N° 2, se practicó el sorteo de ley que determinó que la votación debía efectuarse en el siguiente orden: Dres. Graciela Scaraffia y Roberto Degleue, y estudiados los autos se resolvió plantear y votar las siguientes: </w:t>
      </w:r>
    </w:p>
    <w:p>
      <w:pPr>
        <w:pStyle w:val="[Normal]"/>
        <w:spacing w:line="480" w:lineRule="auto"/>
        <w:ind w:firstLine="1134"/>
        <w:jc w:val="both"/>
        <w:rPr>
          <w:lang w:val="es-AR" w:eastAsia="es-AR" w:bidi="es-AR"/>
        </w:rPr>
      </w:pPr>
      <w:r>
        <w:rPr>
          <w:b/>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480" w:lineRule="auto"/>
        <w:ind w:firstLine="1134"/>
        <w:jc w:val="both"/>
        <w:rPr>
          <w:lang w:val="es-AR" w:eastAsia="es-AR" w:bidi="es-AR"/>
        </w:rPr>
      </w:pPr>
      <w:r>
        <w:rPr>
          <w:lang w:val="es-AR" w:eastAsia="es-AR" w:bidi="es-AR"/>
        </w:rPr>
        <w:t xml:space="preserve">El a-quo a fs. 49 declaró abstracta la presente ejecución con fundamento en que los honorarios aquí ejecutados ya fueron percibidos por el Dr. Doddi en los autos principales. E impusó las costas en el orden causado, en atención a las particularidades de la causa.-</w:t>
      </w:r>
    </w:p>
    <w:p>
      <w:pPr>
        <w:pStyle w:val="[Normal]"/>
        <w:spacing w:line="480" w:lineRule="auto"/>
        <w:ind w:firstLine="1134"/>
        <w:jc w:val="both"/>
        <w:rPr>
          <w:lang w:val="es-AR" w:eastAsia="es-AR" w:bidi="es-AR"/>
        </w:rPr>
      </w:pPr>
      <w:r>
        <w:rPr>
          <w:lang w:val="es-AR" w:eastAsia="es-AR" w:bidi="es-AR"/>
        </w:rPr>
        <w:t xml:space="preserve">Contra tal decisorio, dedujo recurso de revocatoria con el de apelación en subsidio la demandada mediante escrito electrónico de fecha 1/11/17, esgrimiendo que en el caso de marras corresponde se dicte sentencia, rechazándose la demanda con costas a la actora.-</w:t>
      </w:r>
    </w:p>
    <w:p>
      <w:pPr>
        <w:pStyle w:val="[Normal]"/>
        <w:spacing w:line="480" w:lineRule="auto"/>
        <w:ind w:firstLine="1134"/>
        <w:jc w:val="both"/>
        <w:rPr>
          <w:lang w:val="es-AR" w:eastAsia="es-AR" w:bidi="es-AR"/>
        </w:rPr>
      </w:pPr>
      <w:r>
        <w:rPr>
          <w:lang w:val="es-AR" w:eastAsia="es-AR" w:bidi="es-AR"/>
        </w:rPr>
        <w:t xml:space="preserve">A fs. 51 el juez de grado desestimó la revocatoria previa, señalando que la pretensión actoral se encuentra satisfecha, y por una circunstancia que no alegaran las partes. Consecuentemente, concedió la apelación interpuesta en subsidio.-</w:t>
      </w:r>
    </w:p>
    <w:p>
      <w:pPr>
        <w:pStyle w:val="[Normal]"/>
        <w:spacing w:line="480" w:lineRule="auto"/>
        <w:ind w:firstLine="1134"/>
        <w:jc w:val="both"/>
        <w:rPr>
          <w:lang w:val="es-AR" w:eastAsia="es-AR" w:bidi="es-AR"/>
        </w:rPr>
      </w:pPr>
      <w:r>
        <w:rPr>
          <w:lang w:val="es-AR" w:eastAsia="es-AR" w:bidi="es-AR"/>
        </w:rPr>
        <w:t xml:space="preserve">No habiendo contestado la contraparte el traslado conferido, a fs. 55 se le dió por perdido el derecho dejado de usar.- </w:t>
      </w:r>
    </w:p>
    <w:p>
      <w:pPr>
        <w:pStyle w:val="[Normal]"/>
        <w:spacing w:line="480" w:lineRule="auto"/>
        <w:ind w:firstLine="1134"/>
        <w:jc w:val="both"/>
        <w:rPr>
          <w:lang w:val="es-AR" w:eastAsia="es-AR" w:bidi="es-AR"/>
        </w:rPr>
      </w:pPr>
      <w:r>
        <w:rPr>
          <w:lang w:val="es-AR" w:eastAsia="es-AR" w:bidi="es-AR"/>
        </w:rPr>
        <w:t xml:space="preserve">A fs. 67 obra llamamiento de autos, providencia que firme a la fecha deja la causa en condiciones de ser fallada.-</w:t>
      </w:r>
    </w:p>
    <w:p>
      <w:pPr>
        <w:pStyle w:val="[Normal]"/>
        <w:spacing w:line="480" w:lineRule="auto"/>
        <w:ind w:firstLine="1134"/>
        <w:jc w:val="both"/>
        <w:rPr>
          <w:lang w:val="es-AR" w:eastAsia="es-AR" w:bidi="es-AR"/>
        </w:rPr>
      </w:pPr>
      <w:r>
        <w:rPr>
          <w:lang w:val="es-AR" w:eastAsia="es-AR" w:bidi="es-AR"/>
        </w:rPr>
        <w:t xml:space="preserve">Entrando a resolver, cuadra considerar que el Dr. Eduardo Doddi inició la presente a los fines de ejecutar los estipendios profesionales que le fueran fijados en su favor mediante el auto regulatorio obrante en copia a fs. 4 (ver fs. 14/15 vta).-</w:t>
      </w:r>
    </w:p>
    <w:p>
      <w:pPr>
        <w:pStyle w:val="[Normal]"/>
        <w:spacing w:line="480" w:lineRule="auto"/>
        <w:ind w:firstLine="1134"/>
        <w:jc w:val="both"/>
        <w:rPr>
          <w:lang w:val="es-AR" w:eastAsia="es-AR" w:bidi="es-AR"/>
        </w:rPr>
      </w:pPr>
      <w:r>
        <w:rPr>
          <w:lang w:val="es-AR" w:eastAsia="es-AR" w:bidi="es-AR"/>
        </w:rPr>
        <w:t xml:space="preserve">Y la accionada, al contestar la demanda, opuso excepción de prescripción de la ejecutoria (ver fs. 29/44 vta).-</w:t>
      </w:r>
    </w:p>
    <w:p>
      <w:pPr>
        <w:pStyle w:val="[Normal]"/>
        <w:spacing w:line="480" w:lineRule="auto"/>
        <w:ind w:firstLine="1134"/>
        <w:jc w:val="both"/>
        <w:rPr>
          <w:lang w:val="es-AR" w:eastAsia="es-AR" w:bidi="es-AR"/>
        </w:rPr>
      </w:pPr>
      <w:r>
        <w:rPr>
          <w:lang w:val="es-AR" w:eastAsia="es-AR" w:bidi="es-AR"/>
        </w:rPr>
        <w:t xml:space="preserve">En ese marco, atendiendo que los honorarios objeto de autos ya fueron percibidos por el actor -Dr. Doddi- en el principal, conforme lo advirtiera el juez de grado a fs. 49, estimo resulta ajustado a derecho el fallo atacado.-</w:t>
      </w:r>
    </w:p>
    <w:p>
      <w:pPr>
        <w:pStyle w:val="[Normal]"/>
        <w:spacing w:line="480" w:lineRule="auto"/>
        <w:ind w:firstLine="1134"/>
        <w:jc w:val="both"/>
        <w:rPr>
          <w:lang w:val="es-AR" w:eastAsia="es-AR" w:bidi="es-AR"/>
        </w:rPr>
      </w:pPr>
      <w:r>
        <w:rPr>
          <w:lang w:val="es-AR" w:eastAsia="es-AR" w:bidi="es-AR"/>
        </w:rPr>
        <w:t xml:space="preserve">Pues el asunto a resolver ha devenido abstracto con la satisfacción plena de la pretensión actoral, tal como lo adelantara el a-quo. Ya no existe posibilidad de que una decisión judicial tenga algún efecto práctico sobre los hechos del caso, por cuanto cualquier pronunciamiento resultaría teórico o inoficioso al tiempo que impropio de la función judicial (cfr. SCBA LP B 63052 RSD-195-18 S 15/08/2018 JUBA B4000422).-</w:t>
      </w:r>
    </w:p>
    <w:p>
      <w:pPr>
        <w:pStyle w:val="[Normal]"/>
        <w:spacing w:line="480" w:lineRule="auto"/>
        <w:ind w:firstLine="1134"/>
        <w:jc w:val="both"/>
        <w:rPr>
          <w:lang w:val="es-AR" w:eastAsia="es-AR" w:bidi="es-AR"/>
        </w:rPr>
      </w:pPr>
      <w:r>
        <w:rPr>
          <w:lang w:val="es-AR" w:eastAsia="es-AR" w:bidi="es-AR"/>
        </w:rPr>
        <w:t xml:space="preserve">Y en punto a las costas, cabe un apartamiento del principio rector en virtud de la forma en que ha quedado trabada la litis. Las partes nada alegaron en sus presentaciones respecto del pago efectuado en los autos principales por el que devino abstracta la presente (cfr. Morello-Sosa-Berizconce, "Cód. Procesales...", Segunda Edición, Año 1985, Ed. Abeledo Perrot,T II B, pág.. 74).-</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b/>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Desestimar el recurso de apelación deducido, y en consecuencia confirmar el decisorio atacado.-</w:t>
      </w:r>
    </w:p>
    <w:p>
      <w:pPr>
        <w:pStyle w:val="[Normal]"/>
        <w:spacing w:line="480" w:lineRule="auto"/>
        <w:ind w:firstLine="1134"/>
        <w:jc w:val="both"/>
        <w:rPr>
          <w:lang w:val="es-AR" w:eastAsia="es-AR" w:bidi="es-AR"/>
        </w:rPr>
      </w:pPr>
      <w:r>
        <w:rPr>
          <w:lang w:val="es-AR" w:eastAsia="es-AR" w:bidi="es-AR"/>
        </w:rPr>
        <w:t xml:space="preserve">Costas a la apelante vencida (arts. 68/69 C.P.C.C.).-</w:t>
      </w:r>
    </w:p>
    <w:p>
      <w:pPr>
        <w:pStyle w:val="[Normal]"/>
        <w:spacing w:line="48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Desestimar el recurso de apelación deducido, y en consecuencia confirmar el decisorio atacado.-</w:t>
      </w:r>
    </w:p>
    <w:p>
      <w:pPr>
        <w:pStyle w:val="[Normal]"/>
        <w:spacing w:line="480" w:lineRule="auto"/>
        <w:ind w:firstLine="1134"/>
        <w:jc w:val="both"/>
        <w:rPr>
          <w:lang w:val="es-AR" w:eastAsia="es-AR" w:bidi="es-AR"/>
        </w:rPr>
      </w:pPr>
      <w:r>
        <w:rPr>
          <w:lang w:val="es-AR" w:eastAsia="es-AR" w:bidi="es-AR"/>
        </w:rPr>
        <w:t xml:space="preserve">Costas a la apelante vencida (arts. 68/69 C.P.C.C.).-</w:t>
      </w:r>
    </w:p>
    <w:p>
      <w:pPr>
        <w:pStyle w:val="[Normal]"/>
        <w:spacing w:line="480" w:lineRule="auto"/>
        <w:ind w:firstLine="1134"/>
        <w:jc w:val="both"/>
        <w:rPr>
          <w:lang w:val="es-AR" w:eastAsia="es-AR" w:bidi="es-AR"/>
        </w:rPr>
      </w:pPr>
      <w:r>
        <w:rPr>
          <w:lang w:val="es-AR" w:eastAsia="es-AR" w:bidi="es-AR"/>
        </w:rPr>
        <w:t xml:space="preserve">Regístrese. Notifíquese. Devuélvase.-</w:t>
      </w: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rPr>
          <w:b/>
          <w:color w:val="000000"/>
          <w:sz w:val="20"/>
          <w:lang w:val="es-AR" w:eastAsia="es-AR" w:bidi="es-AR"/>
        </w:rPr>
      </w:pPr>
      <w:r>
        <w:rPr>
          <w:b/>
          <w:color w:val="000000"/>
          <w:sz w:val="20"/>
          <w:lang w:val="es-AR" w:eastAsia="es-AR" w:bidi="es-AR"/>
        </w:rPr>
        <w:t xml:space="preserve">Graciela SCARAFFIA</w:t>
      </w:r>
    </w:p>
    <w:p>
      <w:pPr>
        <w:pStyle w:val="[Normal]"/>
        <w:spacing w:line="480" w:lineRule="auto"/>
        <w:ind w:firstLine="1134"/>
        <w:rPr>
          <w:b/>
          <w:color w:val="000000"/>
          <w:sz w:val="20"/>
          <w:lang w:val="es-AR" w:eastAsia="es-AR" w:bidi="es-AR"/>
        </w:rPr>
      </w:pPr>
      <w:r>
        <w:rPr>
          <w:b/>
          <w:color w:val="000000"/>
          <w:sz w:val="20"/>
          <w:lang w:val="es-AR" w:eastAsia="es-AR" w:bidi="es-AR"/>
        </w:rPr>
        <w:t xml:space="preserve">Presidente Excma. Cámara de</w:t>
      </w:r>
    </w:p>
    <w:p>
      <w:pPr>
        <w:pStyle w:val="[Normal]"/>
        <w:spacing w:line="480" w:lineRule="auto"/>
        <w:ind w:firstLine="1134"/>
        <w:rPr>
          <w:b/>
          <w:color w:val="000000"/>
          <w:sz w:val="20"/>
          <w:lang w:val="es-AR" w:eastAsia="es-AR" w:bidi="es-AR"/>
        </w:rPr>
      </w:pPr>
      <w:r>
        <w:rPr>
          <w:b/>
          <w:color w:val="000000"/>
          <w:sz w:val="20"/>
          <w:lang w:val="es-AR" w:eastAsia="es-AR" w:bidi="es-AR"/>
        </w:rPr>
        <w:t xml:space="preserve">Apelación en lo Civil y Comercial </w:t>
      </w:r>
    </w:p>
    <w:p>
      <w:pPr>
        <w:pStyle w:val="[Normal]"/>
        <w:spacing w:line="480" w:lineRule="auto"/>
        <w:ind w:firstLine="1134"/>
        <w:rPr>
          <w:b/>
          <w:color w:val="000000"/>
          <w:sz w:val="20"/>
          <w:lang w:val="es-AR" w:eastAsia="es-AR" w:bidi="es-AR"/>
        </w:rPr>
      </w:pPr>
      <w:r>
        <w:rPr>
          <w:b/>
          <w:color w:val="000000"/>
          <w:sz w:val="20"/>
          <w:lang w:val="es-AR" w:eastAsia="es-AR" w:bidi="es-AR"/>
        </w:rPr>
        <w:t xml:space="preserve">Dpto. Judicial Pergamino</w:t>
      </w:r>
    </w:p>
    <w:p>
      <w:pPr>
        <w:pStyle w:val="[Normal]"/>
        <w:spacing w:line="480" w:lineRule="auto"/>
        <w:ind w:firstLine="1134"/>
        <w:jc w:val="center"/>
        <w:rPr>
          <w:b/>
          <w:color w:val="000000"/>
          <w:sz w:val="20"/>
          <w:lang w:val="es-AR" w:eastAsia="es-AR" w:bidi="es-AR"/>
        </w:rPr>
      </w:pPr>
    </w:p>
    <w:p>
      <w:pPr>
        <w:pStyle w:val="[Normal]"/>
        <w:spacing w:line="480" w:lineRule="auto"/>
        <w:ind w:firstLine="1134"/>
        <w:jc w:val="right"/>
        <w:rPr>
          <w:b/>
          <w:color w:val="000000"/>
          <w:sz w:val="20"/>
          <w:lang w:val="es-AR" w:eastAsia="es-AR" w:bidi="es-AR"/>
        </w:rPr>
      </w:pPr>
      <w:r>
        <w:rPr>
          <w:b/>
          <w:color w:val="000000"/>
          <w:sz w:val="20"/>
          <w:lang w:val="es-AR" w:eastAsia="es-AR" w:bidi="es-AR"/>
        </w:rPr>
        <w:t xml:space="preserve">Roberto Manuel DEGLEUE</w:t>
      </w:r>
    </w:p>
    <w:p>
      <w:pPr>
        <w:pStyle w:val="[Normal]"/>
        <w:spacing w:line="480" w:lineRule="auto"/>
        <w:ind w:firstLine="1134"/>
        <w:jc w:val="right"/>
        <w:rPr>
          <w:b/>
          <w:color w:val="000000"/>
          <w:sz w:val="20"/>
          <w:lang w:val="es-AR" w:eastAsia="es-AR" w:bidi="es-AR"/>
        </w:rPr>
      </w:pPr>
      <w:r>
        <w:rPr>
          <w:b/>
          <w:color w:val="000000"/>
          <w:sz w:val="20"/>
          <w:lang w:val="es-AR" w:eastAsia="es-AR" w:bidi="es-AR"/>
        </w:rPr>
        <w:t xml:space="preserve">           Juez</w:t>
      </w:r>
    </w:p>
    <w:p>
      <w:pPr>
        <w:pStyle w:val="[Normal]"/>
        <w:spacing w:line="480" w:lineRule="auto"/>
        <w:ind w:firstLine="1134"/>
        <w:jc w:val="center"/>
        <w:rPr>
          <w:b/>
          <w:color w:val="000000"/>
          <w:sz w:val="20"/>
          <w:lang w:val="es-AR" w:eastAsia="es-AR" w:bidi="es-AR"/>
        </w:rPr>
      </w:pPr>
    </w:p>
    <w:p>
      <w:pPr>
        <w:pStyle w:val="[Normal]"/>
        <w:spacing w:line="480" w:lineRule="auto"/>
        <w:ind w:firstLine="1134"/>
        <w:jc w:val="center"/>
        <w:rPr>
          <w:b/>
          <w:color w:val="000000"/>
          <w:sz w:val="20"/>
          <w:lang w:val="es-AR" w:eastAsia="es-AR" w:bidi="es-AR"/>
        </w:rPr>
      </w:pPr>
      <w:r>
        <w:rPr>
          <w:b/>
          <w:color w:val="000000"/>
          <w:sz w:val="20"/>
          <w:lang w:val="es-AR" w:eastAsia="es-AR" w:bidi="es-AR"/>
        </w:rPr>
        <w:t xml:space="preserve">Luis María BIANCO</w:t>
      </w:r>
    </w:p>
    <w:p>
      <w:pPr>
        <w:pStyle w:val="[Normal]"/>
        <w:rPr>
          <w:b/>
          <w:color w:val="000000"/>
          <w:sz w:val="20"/>
          <w:lang w:val="es-AR" w:eastAsia="es-AR" w:bidi="es-AR"/>
        </w:rPr>
      </w:pPr>
      <w:r>
        <w:rPr>
          <w:b/>
          <w:color w:val="000000"/>
          <w:sz w:val="20"/>
          <w:lang w:val="es-AR" w:eastAsia="es-AR" w:bidi="es-AR"/>
        </w:rPr>
        <w:t xml:space="preserve">Auxiliar Letrado</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