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jc w:val="both"/>
        <w:rPr>
          <w:lang w:val="es-AR" w:eastAsia="es-AR" w:bidi="es-AR"/>
        </w:rPr>
      </w:pPr>
      <w:r>
        <w:rPr>
          <w:sz w:val="20"/>
          <w:lang w:val="es-AR" w:eastAsia="es-AR" w:bidi="es-AR"/>
        </w:rPr>
        <w:t xml:space="preserve"> </w:t>
      </w:r>
      <w:r>
        <w:rPr>
          <w:b/>
          <w:lang w:val="es-AR" w:eastAsia="es-AR" w:bidi="es-AR"/>
        </w:rPr>
        <w:t xml:space="preserve">Registro N°    167   /</w:t>
      </w:r>
      <w:r>
        <w:rPr>
          <w:b/>
          <w:color w:val="000000"/>
          <w:lang w:val="es-AR" w:eastAsia="es-AR" w:bidi="es-AR"/>
        </w:rPr>
        <w:t xml:space="preserve">2018</w:t>
      </w:r>
      <w:r>
        <w:rPr>
          <w:color w:val="000000"/>
          <w:lang w:val="es-AR" w:eastAsia="es-AR" w:bidi="es-AR"/>
        </w:rPr>
        <w:t xml:space="preserve"> </w:t>
      </w:r>
    </w:p>
    <w:p>
      <w:pPr>
        <w:pStyle w:val="[Normal]"/>
        <w:spacing w:line="480" w:lineRule="auto"/>
        <w:jc w:val="both"/>
        <w:rPr>
          <w:lang w:val="es-AR" w:eastAsia="es-AR" w:bidi="es-AR"/>
        </w:rPr>
      </w:pPr>
      <w:r>
        <w:rPr>
          <w:b/>
          <w:lang w:val="es-AR" w:eastAsia="es-AR" w:bidi="es-AR"/>
        </w:rPr>
        <w:t xml:space="preserve">	Fojas</w:t>
      </w:r>
      <w:r>
        <w:rPr>
          <w:lang w:val="es-AR" w:eastAsia="es-AR" w:bidi="es-AR"/>
        </w:rPr>
        <w:t xml:space="preserve">     781/787        </w:t>
      </w:r>
    </w:p>
    <w:p>
      <w:pPr>
        <w:pStyle w:val="[Normal]"/>
        <w:spacing w:line="48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3294-18</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81976 del </w:t>
      </w:r>
      <w:r>
        <w:rPr>
          <w:color w:val="000000"/>
          <w:lang w:val="es-AR" w:eastAsia="es-AR" w:bidi="es-AR"/>
        </w:rPr>
        <w:t xml:space="preserve">Juzgado en lo Civil y Comercial N° 2 departamental,</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r>
        <w:rPr>
          <w:u w:val="single"/>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dijo: </w:t>
      </w:r>
    </w:p>
    <w:p>
      <w:pPr>
        <w:pStyle w:val="[Normal]"/>
        <w:spacing w:line="480" w:lineRule="auto"/>
        <w:ind w:firstLine="1134"/>
        <w:jc w:val="both"/>
        <w:rPr>
          <w:lang w:val="es-AR" w:eastAsia="es-AR" w:bidi="es-AR"/>
        </w:rPr>
      </w:pPr>
      <w:r>
        <w:rPr>
          <w:lang w:val="es-AR" w:eastAsia="es-AR" w:bidi="es-AR"/>
        </w:rPr>
        <w:t xml:space="preserve">El Señor de Juez de la anterior instancia rechazó las defensas opuestas por el banco ejecutado y mandó a llevar adelante la ejecución hasta tanto el acreedor haga íntegro pago del capital reclamado en autos de $ 12.300.- con más los intereses legales (art. 54 inc. b Ley 8904), desde la fecha de la mora (23/02/2018) fecha del mandamiento de fs. 27, con más los aportes de Ley.</w:t>
      </w:r>
    </w:p>
    <w:p>
      <w:pPr>
        <w:pStyle w:val="[Normal]"/>
        <w:spacing w:line="480" w:lineRule="auto"/>
        <w:ind w:firstLine="1134"/>
        <w:jc w:val="both"/>
        <w:rPr>
          <w:lang w:val="es-AR" w:eastAsia="es-AR" w:bidi="es-AR"/>
        </w:rPr>
      </w:pPr>
      <w:r>
        <w:rPr>
          <w:lang w:val="es-AR" w:eastAsia="es-AR" w:bidi="es-AR"/>
        </w:rPr>
        <w:t xml:space="preserve">Contra dicho fallo interpusieron recurso de apelación: </w:t>
      </w:r>
    </w:p>
    <w:p>
      <w:pPr>
        <w:pStyle w:val="[Normal]"/>
        <w:spacing w:line="480" w:lineRule="auto"/>
        <w:ind w:firstLine="1134"/>
        <w:jc w:val="both"/>
        <w:rPr>
          <w:lang w:val="es-AR" w:eastAsia="es-AR" w:bidi="es-AR"/>
        </w:rPr>
      </w:pPr>
      <w:r>
        <w:rPr>
          <w:lang w:val="es-AR" w:eastAsia="es-AR" w:bidi="es-AR"/>
        </w:rPr>
        <w:t xml:space="preserve"> a) El Dr. Eduardo Doddi, a fs. 61. Fue concedido en relación a fs. 62, fundado a fs. 63/66, y a fs. 76/7 el actor respondió el traslado que le fuera conferido.</w:t>
      </w:r>
    </w:p>
    <w:p>
      <w:pPr>
        <w:pStyle w:val="[Normal]"/>
        <w:spacing w:line="480" w:lineRule="auto"/>
        <w:ind w:firstLine="1134"/>
        <w:jc w:val="both"/>
        <w:rPr>
          <w:lang w:val="es-AR" w:eastAsia="es-AR" w:bidi="es-AR"/>
        </w:rPr>
      </w:pPr>
      <w:r>
        <w:rPr>
          <w:lang w:val="es-AR" w:eastAsia="es-AR" w:bidi="es-AR"/>
        </w:rPr>
        <w:t xml:space="preserve">b) El  ejecutado, a fs. 71/4, fundado en el acto de su interposición. Fue concedido en relación a fs. 75,  y su traslado quedó incontestado según consta en  nota obrante a fs. 80.</w:t>
      </w:r>
    </w:p>
    <w:p>
      <w:pPr>
        <w:pStyle w:val="[Normal]"/>
        <w:spacing w:line="480" w:lineRule="auto"/>
        <w:ind w:firstLine="1134"/>
        <w:jc w:val="both"/>
        <w:rPr>
          <w:lang w:val="es-AR" w:eastAsia="es-AR" w:bidi="es-AR"/>
        </w:rPr>
      </w:pPr>
      <w:r>
        <w:rPr>
          <w:lang w:val="es-AR" w:eastAsia="es-AR" w:bidi="es-AR"/>
        </w:rPr>
        <w:t xml:space="preserve"> A fs. 90 se dictó llamamiento de autos, providencia que firme a la fecha deja la causa en condiciones de ser fallada.-</w:t>
      </w:r>
    </w:p>
    <w:p>
      <w:pPr>
        <w:pStyle w:val="[Normal]"/>
        <w:spacing w:line="480" w:lineRule="auto"/>
        <w:ind w:firstLine="1134"/>
        <w:jc w:val="both"/>
        <w:rPr>
          <w:lang w:val="es-AR" w:eastAsia="es-AR" w:bidi="es-AR"/>
        </w:rPr>
      </w:pPr>
      <w:r>
        <w:rPr>
          <w:b/>
          <w:lang w:val="es-AR" w:eastAsia="es-AR" w:bidi="es-AR"/>
        </w:rPr>
        <w:t xml:space="preserve">1°) Recurso del Banco de la Provincia de Buenos Aires.</w:t>
      </w:r>
    </w:p>
    <w:p>
      <w:pPr>
        <w:pStyle w:val="[Normal]"/>
        <w:spacing w:line="480" w:lineRule="auto"/>
        <w:ind w:firstLine="1134"/>
        <w:jc w:val="both"/>
        <w:rPr>
          <w:lang w:val="es-AR" w:eastAsia="es-AR" w:bidi="es-AR"/>
        </w:rPr>
      </w:pPr>
      <w:r>
        <w:rPr>
          <w:lang w:val="es-AR" w:eastAsia="es-AR" w:bidi="es-AR"/>
        </w:rPr>
        <w:t xml:space="preserve">El banco demandado en su recurso exhibe dos puntos de agravios. El primero de ellos es el rechazo de su pretensión relativa a la inaplicabilidad al caso la solidaridad prevista por el art. 58 de la ley 8904, con fundamento en la existencia de una relación de subordinación entre el letrado y el banco, a través de una remuneración normal y habitual que el abogado habría percibido. Consideró el juzgador no acreditada tal circunstancia, pues la entidad bancaria no ha aportado el contrato previsto en el art. 18 de la ley Arancelaria -redactado por escrito y registrado en el Colegio de Abogados-, ni adjuntado recibos de pago de la relación laboral de aquella época, en contraposición a lo dispuesto por el art. 547 del CPCC.</w:t>
      </w:r>
    </w:p>
    <w:p>
      <w:pPr>
        <w:pStyle w:val="[Normal]"/>
        <w:spacing w:line="480" w:lineRule="auto"/>
        <w:ind w:firstLine="1134"/>
        <w:jc w:val="both"/>
        <w:rPr>
          <w:lang w:val="es-AR" w:eastAsia="es-AR" w:bidi="es-AR"/>
        </w:rPr>
      </w:pPr>
      <w:r>
        <w:rPr>
          <w:lang w:val="es-AR" w:eastAsia="es-AR" w:bidi="es-AR"/>
        </w:rPr>
        <w:t xml:space="preserve">El accionado se limita a manifestar que es público y notorio que el letrado se desempeñó como apoderado de la entidad durante muchos años. Y que la relación de derecho público existente mediante contrato de empleo público y el pago de sueldos y aportes jubilatorios así lo acreditan.  Afirma que además el Dr .Doddi percibió honorarios profesionales. Aduce que en supuestos como el de autos, si el letrado trabaja en relación de dependencia, no puede pretender que éste se haga cargo en forma subsidiaria de su honorario cuando el condenado en costas no la abona.</w:t>
      </w:r>
    </w:p>
    <w:p>
      <w:pPr>
        <w:pStyle w:val="[Normal]"/>
        <w:spacing w:line="480" w:lineRule="auto"/>
        <w:ind w:firstLine="1134"/>
        <w:jc w:val="both"/>
        <w:rPr>
          <w:lang w:val="es-AR" w:eastAsia="es-AR" w:bidi="es-AR"/>
        </w:rPr>
      </w:pPr>
      <w:r>
        <w:rPr>
          <w:lang w:val="es-AR" w:eastAsia="es-AR" w:bidi="es-AR"/>
        </w:rPr>
        <w:t xml:space="preserve">El segundo punto de la queja del ejecutado es que la parte actora ha incoado la presente acción judicial con base a que el profesional podrá reclamar el pago al condenado en costas y a su cliente indistintamente, según su entender.  Sosteniendo que "En tal supuesto, para el caso que el abogado acreedor intente el ejercici</w:t>
      </w:r>
      <w:r>
        <w:rPr>
          <w:i/>
          <w:lang w:val="es-AR" w:eastAsia="es-AR" w:bidi="es-AR"/>
        </w:rPr>
        <w:t xml:space="preserve">o de la acción derivada de la obligación de garantía, resultan condiciones sine qua non a) Que transcurra el plazo fijado al deudor principal para el pago del emolumento. b) Que el condenado en costas no cancele la deuda. Ninguna de estas condiciones se encuentra</w:t>
      </w:r>
      <w:r>
        <w:rPr>
          <w:lang w:val="es-AR" w:eastAsia="es-AR" w:bidi="es-AR"/>
        </w:rPr>
        <w:t xml:space="preserve"> </w:t>
      </w:r>
      <w:r>
        <w:rPr>
          <w:i/>
          <w:lang w:val="es-AR" w:eastAsia="es-AR" w:bidi="es-AR"/>
        </w:rPr>
        <w:t xml:space="preserve">acreditada en forma fehaciente por la actora por lo que la demanda debió ser rechazada en su momento por carecer de los elementos constituyentes de mínima.  El actor no acredita, por ejemplo, haber incoado acciones judiciales a fin de perseguir el cobro de sus emolumentos contra el real condenado en costas.  Y persigue directamente a su empleador..."</w:t>
      </w:r>
      <w:r>
        <w:rPr>
          <w:lang w:val="es-AR" w:eastAsia="es-AR" w:bidi="es-AR"/>
        </w:rPr>
        <w:t xml:space="preserve">. Cita  jurisprudencia vigente en el ámbito de la Ciudad Autónoma de Buenos Aires. Asevera que el actor carece de legitimación para demandar a su representada no condenada en costas por el cobro de los honorarios objeto de autos, en tanto no ha acreditado tales extremos.            </w:t>
      </w:r>
    </w:p>
    <w:p>
      <w:pPr>
        <w:pStyle w:val="[Normal]"/>
        <w:spacing w:line="480" w:lineRule="auto"/>
        <w:ind w:firstLine="1134"/>
        <w:jc w:val="both"/>
        <w:rPr>
          <w:lang w:val="es-AR" w:eastAsia="es-AR" w:bidi="es-AR"/>
        </w:rPr>
      </w:pPr>
      <w:r>
        <w:rPr>
          <w:lang w:val="es-AR" w:eastAsia="es-AR" w:bidi="es-AR"/>
        </w:rPr>
        <w:t xml:space="preserve">Liminarmente, cuadra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480" w:lineRule="auto"/>
        <w:ind w:firstLine="1134"/>
        <w:jc w:val="both"/>
        <w:rPr>
          <w:lang w:val="es-AR" w:eastAsia="es-AR" w:bidi="es-AR"/>
        </w:rPr>
      </w:pPr>
      <w:r>
        <w:rPr>
          <w:lang w:val="es-AR" w:eastAsia="es-AR" w:bidi="es-AR"/>
        </w:rPr>
        <w:t xml:space="preserve">Al respecto ha señalado la SCBA que "... </w:t>
      </w:r>
      <w:r>
        <w:rPr>
          <w:i/>
          <w:lang w:val="es-AR" w:eastAsia="es-AR" w:bidi="es-AR"/>
        </w:rPr>
        <w:t xml:space="preserve">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w:t>
      </w:r>
      <w:r>
        <w:rPr>
          <w:lang w:val="es-AR" w:eastAsia="es-AR" w:bidi="es-AR"/>
        </w:rPr>
        <w:t xml:space="preserve"> c</w:t>
      </w:r>
      <w:r>
        <w:rPr>
          <w:i/>
          <w:lang w:val="es-AR" w:eastAsia="es-AR" w:bidi="es-AR"/>
        </w:rPr>
        <w:t xml:space="preserve">onsiderar que ella es errónea, injusta o contraria a derecho" (conf. Ac. 49.561, sent. del 31-V-1994 en "Acuerdos y Sentencias", 1994-II-383; Ac. 53.320, sent. del 19-XII-1995 en "Acuerdos y Sentencias", 1995-IV-674; conf. doct. C. 91.877, sent. del 13-XII-2006)"</w:t>
      </w:r>
      <w:r>
        <w:rPr>
          <w:lang w:val="es-AR" w:eastAsia="es-AR" w:bidi="es-AR"/>
        </w:rPr>
        <w:t xml:space="preserve">...(causa C 1128-13 S 16/07/2014).-</w:t>
      </w:r>
    </w:p>
    <w:p>
      <w:pPr>
        <w:pStyle w:val="[Normal]"/>
        <w:spacing w:line="480" w:lineRule="auto"/>
        <w:ind w:firstLine="1134"/>
        <w:jc w:val="both"/>
        <w:rPr>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480" w:lineRule="auto"/>
        <w:ind w:firstLine="1134"/>
        <w:jc w:val="both"/>
        <w:rPr>
          <w:lang w:val="es-AR" w:eastAsia="es-AR" w:bidi="es-AR"/>
        </w:rPr>
      </w:pPr>
      <w:r>
        <w:rPr>
          <w:lang w:val="es-AR" w:eastAsia="es-AR" w:bidi="es-AR"/>
        </w:rPr>
        <w:t xml:space="preserve">En la especie, la apoderada de la entidad recurrente se ha limitado a reiterar en esta sede las cuestiones que propuso a conocimiento del juez de primera instancia -relativos a la procedencia de la ejecución de honorarios de letrados en relación de dependencia, domicilio del ejecutado, a la prohibición de ejecutar honorarios a su cliente cuando existe relación de subordinación que dispone el art. 18 del Arancelaria y al alcance de la solidaridad prevista en el art. 58 ley 8904-.  Empero ha guardado silencio sobre los motivos brindados por el magistrado para rechazarlas.</w:t>
      </w:r>
    </w:p>
    <w:p>
      <w:pPr>
        <w:pStyle w:val="[Normal]"/>
        <w:spacing w:line="480" w:lineRule="auto"/>
        <w:ind w:firstLine="1134"/>
        <w:jc w:val="both"/>
        <w:rPr>
          <w:lang w:val="es-AR" w:eastAsia="es-AR" w:bidi="es-AR"/>
        </w:rPr>
      </w:pPr>
      <w:r>
        <w:rPr>
          <w:lang w:val="es-AR" w:eastAsia="es-AR" w:bidi="es-AR"/>
        </w:rPr>
        <w:t xml:space="preserve">Así cuando la carencia de prueba es el fundamento sobre el que reposa el fallo impugnado, la apelante nada ha expresado en relación al material probatorio de esta causa limitándose a alegar el carácter de público y notorio de la relación entre el letrado y el banco.  Empero no explica por qué ello es así a su entender, cuando no obra en este trámite  documentación alguna de la que surja la existencia de una relación de subordinación en la época en que se realizaron los trabajos que han sido remunerados mediante los honorarios que aquí se ejecutan.  Y sólo emerge de las constancias obrantes en autos que el profesional ejecutante  intervino en la causa principal como abogado inscripto en el Colegio de Abogados departamental actuando en calidad de apoderado del Banco de la Provincia de Buenos Aires ( ley 5177, art. 2° CCyC, art. 375, 384 y ccs. CPCC).</w:t>
      </w:r>
    </w:p>
    <w:p>
      <w:pPr>
        <w:pStyle w:val="[Normal]"/>
        <w:spacing w:line="480" w:lineRule="auto"/>
        <w:ind w:firstLine="1134"/>
        <w:jc w:val="both"/>
        <w:rPr>
          <w:lang w:val="es-AR" w:eastAsia="es-AR" w:bidi="es-AR"/>
        </w:rPr>
      </w:pPr>
      <w:r>
        <w:rPr>
          <w:lang w:val="es-AR" w:eastAsia="es-AR" w:bidi="es-AR"/>
        </w:rPr>
        <w:t xml:space="preserve">Por otra parte, a fin de argumentar en relación a la solidaridad prevista por el art. 58 de la ley 8904, el recurrente ha citado jurisprudencia vigente en la C.A.B.A, que se funda en legislación distinta vigente territorialmente sólo en el ámbito de dicha ciudad, y ha guardado silencio acerca de la doctrina legal de la SCBA que ha citado el juzgador primero como fundamento de su fallo.</w:t>
      </w:r>
    </w:p>
    <w:p>
      <w:pPr>
        <w:pStyle w:val="[Normal]"/>
        <w:spacing w:line="480" w:lineRule="auto"/>
        <w:ind w:firstLine="1134"/>
        <w:jc w:val="both"/>
        <w:rPr>
          <w:lang w:val="es-AR" w:eastAsia="es-AR" w:bidi="es-AR"/>
        </w:rPr>
      </w:pPr>
      <w:r>
        <w:rPr>
          <w:lang w:val="es-AR" w:eastAsia="es-AR" w:bidi="es-AR"/>
        </w:rPr>
        <w:t xml:space="preserve">Estimo entonces respecto de tales cuestiones que la pieza recursiva agregada a fs.68/71 no alcanza a abastecer la carga procesal de alcanzar cierto nivel crítico que permita su tratamiento, mostrándose inidónea ya que no ataca en forma concreta y frontal los verdaderos fundamentos del fallo apelado.-</w:t>
      </w:r>
    </w:p>
    <w:p>
      <w:pPr>
        <w:pStyle w:val="[Normal]"/>
        <w:spacing w:line="480" w:lineRule="auto"/>
        <w:ind w:firstLine="1134"/>
        <w:jc w:val="both"/>
        <w:rPr>
          <w:lang w:val="es-AR" w:eastAsia="es-AR" w:bidi="es-AR"/>
        </w:rPr>
      </w:pPr>
      <w:r>
        <w:rPr>
          <w:lang w:val="es-AR" w:eastAsia="es-AR" w:bidi="es-AR"/>
        </w:rPr>
        <w:t xml:space="preserve">No obstante he de destacar que los fallos sobre solidaridad citados por la ejecutada resultan inaplicables al presente caso  en tanto son del orden nacional, donde existe una normativa que difiere de la provincial, la cual establece una garantía subsidiaria, y por tanto recién en el supuesto de que el pago reclamado a la condenada en costas no se efectuare, se podrá reclamar el pago al cliente. En cambio en el ámbito provincial, no resulta necesario que el abogado justifique la insolvencia del deudor principal, pudiendo inclusive desistir del proceso contra él (art. 58 L.H.P.). Así lo ha entendido el Superior Tribunal Provincial en el precedente citado por el apelado.</w:t>
      </w:r>
    </w:p>
    <w:p>
      <w:pPr>
        <w:pStyle w:val="[Normal]"/>
        <w:spacing w:line="480" w:lineRule="auto"/>
        <w:ind w:firstLine="1134"/>
        <w:jc w:val="both"/>
        <w:rPr>
          <w:lang w:val="es-AR" w:eastAsia="es-AR" w:bidi="es-AR"/>
        </w:rPr>
      </w:pPr>
      <w:r>
        <w:rPr>
          <w:b/>
          <w:lang w:val="es-AR" w:eastAsia="es-AR" w:bidi="es-AR"/>
        </w:rPr>
        <w:t xml:space="preserve">II) Recurso del actor Dr. Eduardo Oscar Doddi</w:t>
      </w:r>
    </w:p>
    <w:p>
      <w:pPr>
        <w:pStyle w:val="[Normal]"/>
        <w:spacing w:line="480" w:lineRule="auto"/>
        <w:ind w:firstLine="1134"/>
        <w:jc w:val="both"/>
        <w:rPr>
          <w:lang w:val="es-AR" w:eastAsia="es-AR" w:bidi="es-AR"/>
        </w:rPr>
      </w:pPr>
      <w:r>
        <w:rPr>
          <w:lang w:val="es-AR" w:eastAsia="es-AR" w:bidi="es-AR"/>
        </w:rPr>
        <w:t xml:space="preserve">El apelante se agravia pues juzgador ordenó aplicar los intereses legales (art. 54 inc. b ley 8904) y estableció que como fecha de la mora a los fines de su cómputo, la del diligenciamiento del mandamiento de intimación de pago y embargo librado en autos (22/2/10|8).-</w:t>
      </w:r>
    </w:p>
    <w:p>
      <w:pPr>
        <w:pStyle w:val="[Normal]"/>
        <w:spacing w:line="480" w:lineRule="auto"/>
        <w:ind w:firstLine="1134"/>
        <w:jc w:val="both"/>
        <w:rPr>
          <w:lang w:val="es-AR" w:eastAsia="es-AR" w:bidi="es-AR"/>
        </w:rPr>
      </w:pPr>
      <w:r>
        <w:rPr>
          <w:lang w:val="es-AR" w:eastAsia="es-AR" w:bidi="es-AR"/>
        </w:rPr>
        <w:t xml:space="preserve">Sostiene el quejoso que debe establecerse la tasa de interés activa y como fecha de mora la de vencimiento del plazo de diez días posteriores a la notificación por cédula al Banco de la regulación de honorarios practicada.</w:t>
      </w:r>
    </w:p>
    <w:p>
      <w:pPr>
        <w:pStyle w:val="[Normal]"/>
        <w:spacing w:line="480" w:lineRule="auto"/>
        <w:ind w:firstLine="1134"/>
        <w:jc w:val="both"/>
        <w:rPr>
          <w:lang w:val="es-AR" w:eastAsia="es-AR" w:bidi="es-AR"/>
        </w:rPr>
      </w:pPr>
      <w:r>
        <w:rPr>
          <w:lang w:val="es-AR" w:eastAsia="es-AR" w:bidi="es-AR"/>
        </w:rPr>
        <w:t xml:space="preserve">Según surge de las constancias obrantes en autos, el Banco demandado apeló el auto regulatorio respectivo y luego -contra lo resuelto por esta Alzada- dedujo recurso extraordinario de inaplicabilidad de ley, que fue concedido por este Tribunal, y la SCBA lo declaró mal concedido.  Ello así, el auto regulatorio recién adquirió firmeza cuando quedó firme el último resolutorio aludido. </w:t>
      </w:r>
    </w:p>
    <w:p>
      <w:pPr>
        <w:pStyle w:val="[Normal]"/>
        <w:spacing w:line="480" w:lineRule="auto"/>
        <w:ind w:firstLine="1134"/>
        <w:jc w:val="both"/>
        <w:rPr>
          <w:lang w:val="es-AR" w:eastAsia="es-AR" w:bidi="es-AR"/>
        </w:rPr>
      </w:pPr>
      <w:r>
        <w:rPr>
          <w:lang w:val="es-AR" w:eastAsia="es-AR" w:bidi="es-AR"/>
        </w:rPr>
        <w:t xml:space="preserve">En este caso particular en que el ex mandante del letrado aquí actor, apeló el auto regulatorio de primera instancia, no puede sostenerse válidamente que la fecha a partir de la cual se devenguen los intereses sea aquélla en la que se notificó al banco del mismo desde que no existe fuente legal ni convencional que autorice tal proceder.  Es que como ha dicho reiteradamente este Tribunal -respecto de los honorarios regulados judicialmente-, la mora del deudor se produce desde el vencimiento del plazo de diez días posteriores al momento de haber adquirido firmeza el auto regulatorio, tal como resulta del texto expreso de la ley -pues dada la falta de ese requisito legal antes no existía obligación exigible-,  precisamente a partir de tal momento el retardo en el cumplimiento de la obligación se hace jurídicamente relevante -como también comprometería su responsabilidad correspondiendo entonces liquidar intereses desde esa fecha- (arts. 508/9, 621, 622, 724, 750 y ccs. Código Civil, art. 7°, 886/8 y ccs CCyC, arts.  54 y 57 dec. ley 8904/77, cfr. Hitters-Cairo, Honorarios de Abogados y Procuradores, pág. 606,  54.2.b.1 y 54.2.b.2, primer y segundo párrafo,  CC0000 PE C 5613 RSI-197-5 I 09/08/2005, C 4298 RSI-350-3 I 28/10/2003 JUBA  B2801788, CC0201 LP 94021 RSD-5-3 S 11/02/2003 JUBA B254791, este Tribunal, Causa Nº 179  RSD Nº 42/09 del 9/6/09). </w:t>
      </w:r>
    </w:p>
    <w:p>
      <w:pPr>
        <w:pStyle w:val="[Normal]"/>
        <w:spacing w:line="480" w:lineRule="auto"/>
        <w:ind w:firstLine="1134"/>
        <w:jc w:val="both"/>
        <w:rPr>
          <w:lang w:val="es-AR" w:eastAsia="es-AR" w:bidi="es-AR"/>
        </w:rPr>
      </w:pPr>
      <w:r>
        <w:rPr>
          <w:lang w:val="es-AR" w:eastAsia="es-AR" w:bidi="es-AR"/>
        </w:rPr>
        <w:t xml:space="preserve">Así, en este caso en que han mediado interpuestos recursos de apelación y extraordinario de inaplicabilidad de ley ante la SCBA -concedido por este Tribunal, que la SCBA declaró mal concedido- según emerge de las constancias obrantes a fs. 14/21, el auto regulatorio quedó firme cuando adquirió firmeza el aludido resolutorio del Alto Tribunal (en copia obrante a fs. 20).  Y la mora entonces se produjo entonces luego del vencimiento del plazo de los diez días posteriores a partir de ese momento.</w:t>
      </w:r>
    </w:p>
    <w:p>
      <w:pPr>
        <w:pStyle w:val="[Normal]"/>
        <w:spacing w:line="480" w:lineRule="auto"/>
        <w:ind w:firstLine="1134"/>
        <w:jc w:val="both"/>
        <w:rPr>
          <w:lang w:val="es-AR" w:eastAsia="es-AR" w:bidi="es-AR"/>
        </w:rPr>
      </w:pPr>
      <w:r>
        <w:rPr>
          <w:lang w:val="es-AR" w:eastAsia="es-AR" w:bidi="es-AR"/>
        </w:rPr>
        <w:t xml:space="preserve">II) En relación a los intereses moratorios establecidos en la sentencia, esto es, los "legales" ( art. 54 inc. b ley 8904), el apelante peticiona se aclare la tasa aplicable.</w:t>
      </w:r>
    </w:p>
    <w:p>
      <w:pPr>
        <w:pStyle w:val="[Normal]"/>
        <w:spacing w:line="480" w:lineRule="auto"/>
        <w:ind w:firstLine="1134"/>
        <w:jc w:val="both"/>
        <w:rPr>
          <w:lang w:val="es-AR" w:eastAsia="es-AR" w:bidi="es-AR"/>
        </w:rPr>
      </w:pPr>
      <w:r>
        <w:rPr>
          <w:lang w:val="es-AR" w:eastAsia="es-AR" w:bidi="es-AR"/>
        </w:rPr>
        <w:t xml:space="preserve">Aduce que </w:t>
      </w:r>
      <w:r>
        <w:rPr>
          <w:i/>
          <w:lang w:val="es-AR" w:eastAsia="es-AR" w:bidi="es-AR"/>
        </w:rPr>
        <w:t xml:space="preserve">"la situación de los honorarios en mora resulta una de las cuestiones más controvertidas por la jurisprudencia a tenor de lo normado por el art. 54 inc. b del dec. 8904/77 y los cuestionamientos que al mismo se abrieron a partir del fallo "ISLA" de la SCJBA que declaró su inconstitucionalidad por resultar contrario al art. 10 de la ley 29328 y la aplicación de la Tasa Pasiva al crédito de estipendios en mora</w:t>
      </w:r>
      <w:r>
        <w:rPr>
          <w:lang w:val="es-AR" w:eastAsia="es-AR" w:bidi="es-AR"/>
        </w:rPr>
        <w:t xml:space="preserve">", afirmando que el fallo aún no adquirió firmeza.  Sostiene que luego de la sanción del CCCN que reconoce en su art. 552 la tasa activa más alta para créditos por alimentos, hubo fallos de Cámaras departamentales que han considerado que el fallo Isla no constituye ya doctrina legal pues debía esperarse un nuevo pronunciamiento del cimero tribunal a la luz de la nueva legislación. Señalando que posteriormente se dictaron fallos del Tribunal que seguían aplicando el criterio expuesto en el precedente citado.  Afirma que hoy con la nueva ley de honorarios el tema ha sido subsanado.  Que el abogado puede reclamar honorarios en la unidad arancelaria jus prevista en la ley con más un interés del 12% anual o honorarios convertidos al momento de la mora en moneda de curso legal más el interés previsto en el art. 552 CCCN.</w:t>
      </w:r>
    </w:p>
    <w:p>
      <w:pPr>
        <w:pStyle w:val="[Normal]"/>
        <w:spacing w:line="480" w:lineRule="auto"/>
        <w:ind w:firstLine="1134"/>
        <w:jc w:val="both"/>
        <w:rPr>
          <w:color w:val="000000"/>
          <w:lang w:val="es-AR" w:eastAsia="es-AR" w:bidi="es-AR"/>
        </w:rPr>
      </w:pPr>
      <w:r>
        <w:rPr>
          <w:color w:val="000000"/>
          <w:lang w:val="es-AR" w:eastAsia="es-AR" w:bidi="es-AR"/>
        </w:rPr>
        <w:t xml:space="preserve">Entrando a resolver, liminarmente he de señalar que la Suprema Corte de Justicia Provincial es el norte que debe guiar e inspirar la tarea del juzgador. Y como tal, ha recalcado que "e</w:t>
      </w:r>
      <w:r>
        <w:rPr>
          <w:i/>
          <w:color w:val="000000"/>
          <w:lang w:val="es-AR" w:eastAsia="es-AR" w:bidi="es-AR"/>
        </w:rPr>
        <w:t xml:space="preserv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 en propugnar soluciones que irremisiblemente habrían de ser casadas</w:t>
      </w:r>
      <w:r>
        <w:rPr>
          <w:color w:val="000000"/>
          <w:lang w:val="es-AR" w:eastAsia="es-AR" w:bidi="es-AR"/>
        </w:rPr>
        <w:t xml:space="preserve">" (SCBA, Ac. 52.258 del 2/8/94), de allí que la doctrina legal del alto tribunal bonaerense devenga obligatoria para los órganos jurisdiccionales de la instancias ordinarias (art. 161 inc. 3, ap. "a" Const. Pcial).-</w:t>
      </w:r>
    </w:p>
    <w:p>
      <w:pPr>
        <w:pStyle w:val="[Normal]"/>
        <w:spacing w:line="480" w:lineRule="auto"/>
        <w:ind w:firstLine="1134"/>
        <w:jc w:val="both"/>
        <w:rPr>
          <w:color w:val="000000"/>
          <w:lang w:val="es-AR" w:eastAsia="es-AR" w:bidi="es-AR"/>
        </w:rPr>
      </w:pPr>
      <w:r>
        <w:rPr>
          <w:color w:val="000000"/>
          <w:lang w:val="es-AR" w:eastAsia="es-AR" w:bidi="es-AR"/>
        </w:rPr>
        <w:t xml:space="preserve">Así, se ha sostenido también en torno al tema, que si uno de los fines del recurso de inaplicabilidad de la ley es el de mantener la uniformidad de la jurisprudencia, como medio de hacer efectiva la igualdad ante la ley, resulta claro que los jueces y tribunales de las instancias ordinarias deben aplicar la jurisprudencia establecida por la Suprema Corte de Justicia porque si bien los fallos que ésta dicta resuelven el caso particular, también determinan la jurisprudencia aplicable a los casos análogos por su naturaleza y circunstancias (art. 161 inc. 3° ap. a Const. Pcial;  Cámara Segunda de Apelación en lo Civil y Comercial, Sala Tercera, de La Plata, causa nº 119.309, Reg. 161, del 15/10/2015 JUBA 356049, Morello-Sosa Berizonce, Códigos Procesales...., T° III, Bs. As. 1988, pág. 494 y ss.).</w:t>
      </w:r>
    </w:p>
    <w:p>
      <w:pPr>
        <w:pStyle w:val="[Normal]"/>
        <w:spacing w:line="480" w:lineRule="auto"/>
        <w:ind w:firstLine="1134"/>
        <w:jc w:val="both"/>
        <w:rPr>
          <w:i/>
          <w:color w:val="000000"/>
          <w:lang w:val="es-AR" w:eastAsia="es-AR" w:bidi="es-AR"/>
        </w:rPr>
      </w:pPr>
      <w:r>
        <w:rPr>
          <w:color w:val="000000"/>
          <w:lang w:val="es-AR" w:eastAsia="es-AR" w:bidi="es-AR"/>
        </w:rPr>
        <w:t xml:space="preserve">La presente ejecución de honorarios se ha iniciado por el monto determinado en pesos establecido en el auto regulatorio respectivo, con más los intereses fijados en la sentencia. Resultando entonces de aplicación el criterio adoptado por la SCBA en supuestos análogos al presente en los que -por los fundamentos que allí ha brindado- ha dispuesto que para el cálculo de los intereses moratorios de los honorarios de los abogados</w:t>
      </w:r>
      <w:r>
        <w:rPr>
          <w:i/>
          <w:color w:val="000000"/>
          <w:lang w:val="es-AR" w:eastAsia="es-AR" w:bidi="es-AR"/>
        </w:rPr>
        <w:t xml:space="preserve"> "...corresponde liquidarlos con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hasta el día de su efectivo pago (arts. 622 y 623, Cód. Civ. de Vélez Sarsfield; 7 y 768 inc. "c", Cód. Civ. y Com. de la Nac.; 7 y 10, ley 23.928 y modif.)" </w:t>
      </w:r>
      <w:r>
        <w:rPr>
          <w:color w:val="000000"/>
          <w:lang w:val="es-AR" w:eastAsia="es-AR" w:bidi="es-AR"/>
        </w:rPr>
        <w:t xml:space="preserve">(SCBA  "Musotto, Gerardo Raúl. Incidente de ejecución de honorarios" (C. 120.233, resol. de 2-XI-2016) y "Garay, Lucía c/ Fisco de la Provincia de Buenos Aires s/ Ejecución de Honorarios" (C. 118.062, resol. de 15-XI-2016); SCBA LP Rc 122322 I 03/05/2018, entre otros, JUBA B4202784).-</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w:t>
      </w:r>
      <w:r>
        <w:rPr>
          <w:b/>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b/>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del Banco demandado, y hacer parcialmente lugar al recurso del letrado. En su mérito confirmar la sentencia apelada en lo principal que decide, estableciendo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-a partir de la fecha de mora indicada en los Considerandos de la presente- hasta el día de su efectivo pago (arts. 622 y 623, Cód. Civ. de Vélez Sarsfield; 7 y 768 inc. "c", Cód. Civ. y Com. de la Nac.; 7 y 10, ley 23.928 y modif.).</w:t>
      </w:r>
    </w:p>
    <w:p>
      <w:pPr>
        <w:pStyle w:val="[Normal]"/>
        <w:spacing w:line="480" w:lineRule="auto"/>
        <w:ind w:firstLine="1134"/>
        <w:jc w:val="both"/>
        <w:rPr>
          <w:lang w:val="es-AR" w:eastAsia="es-AR" w:bidi="es-AR"/>
        </w:rPr>
      </w:pPr>
      <w:r>
        <w:rPr>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w:t>
      </w:r>
      <w:r>
        <w:rPr>
          <w:b/>
          <w:lang w:val="es-AR" w:eastAsia="es-AR" w:bidi="es-AR"/>
        </w:rPr>
        <w:t xml:space="preserve"> 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 Rechazar el recurso del Banco demandado, y hacer parcialmente lugar al recurso del letrado. En su mérito confirmar la sentencia apelada en lo principal que decide, estableciendo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-en la fecha de la mora indicada en los considerandos de la presente- hasta el día de su efectivo pago (arts. 622 y 623, Cód. Civ. de Vélez Sarsfield; 7 y 768 inc. "c", Cód. Civ. y Com. de la Nac.; 7 y 10, ley 23.928 y modif.). </w:t>
      </w:r>
    </w:p>
    <w:p>
      <w:pPr>
        <w:pStyle w:val="[Normal]"/>
        <w:spacing w:line="480" w:lineRule="auto"/>
        <w:ind w:firstLine="1134"/>
        <w:jc w:val="both"/>
        <w:rPr>
          <w:lang w:val="es-AR" w:eastAsia="es-AR" w:bidi="es-AR"/>
        </w:rPr>
      </w:pPr>
      <w:r>
        <w:rPr>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ind w:firstLine="1134"/>
        <w:jc w:val="both"/>
        <w:rPr>
          <w:b/>
          <w:sz w:val="18"/>
          <w:lang w:val="es-AR" w:eastAsia="es-AR" w:bidi="es-AR"/>
        </w:rPr>
      </w:pPr>
    </w:p>
    <w:p>
      <w:pPr>
        <w:pStyle w:val="[Normal]"/>
        <w:ind w:firstLine="1134"/>
        <w:jc w:val="center"/>
        <w:rPr>
          <w:b/>
          <w:sz w:val="18"/>
          <w:lang w:val="es-AR" w:eastAsia="es-AR" w:bidi="es-AR"/>
        </w:rPr>
      </w:pPr>
      <w:r>
        <w:rPr>
          <w:b/>
          <w:sz w:val="18"/>
          <w:lang w:val="es-AR" w:eastAsia="es-AR" w:bidi="es-AR"/>
        </w:rPr>
        <w:t xml:space="preserve">Graciela Scaraffia  </w:t>
      </w:r>
    </w:p>
    <w:p>
      <w:pPr>
        <w:pStyle w:val="[Normal]"/>
        <w:ind w:firstLine="1134"/>
        <w:jc w:val="center"/>
        <w:rPr>
          <w:b/>
          <w:sz w:val="18"/>
          <w:lang w:val="es-AR" w:eastAsia="es-AR" w:bidi="es-AR"/>
        </w:rPr>
      </w:pPr>
      <w:r>
        <w:rPr>
          <w:b/>
          <w:sz w:val="18"/>
          <w:lang w:val="es-AR" w:eastAsia="es-AR" w:bidi="es-AR"/>
        </w:rPr>
        <w:t xml:space="preserve">Presidenta</w:t>
      </w:r>
    </w:p>
    <w:p>
      <w:pPr>
        <w:pStyle w:val="[Normal]"/>
        <w:ind w:firstLine="1134"/>
        <w:jc w:val="center"/>
        <w:rPr>
          <w:b/>
          <w:sz w:val="18"/>
          <w:lang w:val="es-AR" w:eastAsia="es-AR" w:bidi="es-AR"/>
        </w:rPr>
      </w:pPr>
      <w:r>
        <w:rPr>
          <w:b/>
          <w:sz w:val="18"/>
          <w:lang w:val="es-AR" w:eastAsia="es-AR" w:bidi="es-AR"/>
        </w:rPr>
        <w:t xml:space="preserve">Cámara de Apelación  en lo Civil y Comercial </w:t>
      </w:r>
    </w:p>
    <w:p>
      <w:pPr>
        <w:pStyle w:val="[Normal]"/>
        <w:ind w:firstLine="1134"/>
        <w:jc w:val="center"/>
        <w:rPr>
          <w:b/>
          <w:sz w:val="18"/>
          <w:lang w:val="es-AR" w:eastAsia="es-AR" w:bidi="es-AR"/>
        </w:rPr>
      </w:pPr>
      <w:r>
        <w:rPr>
          <w:b/>
          <w:sz w:val="18"/>
          <w:lang w:val="es-AR" w:eastAsia="es-AR" w:bidi="es-AR"/>
        </w:rPr>
        <w:t xml:space="preserve">Dpto. Judicial Pergamino </w:t>
      </w:r>
    </w:p>
    <w:p>
      <w:pPr>
        <w:pStyle w:val="[Normal]"/>
        <w:ind w:firstLine="1134"/>
        <w:jc w:val="both"/>
        <w:rPr>
          <w:b/>
          <w:sz w:val="18"/>
          <w:lang w:val="es-AR" w:eastAsia="es-AR" w:bidi="es-AR"/>
        </w:rPr>
      </w:pPr>
    </w:p>
    <w:p>
      <w:pPr>
        <w:pStyle w:val="[Normal]"/>
        <w:ind w:firstLine="1134"/>
        <w:jc w:val="both"/>
        <w:rPr>
          <w:b/>
          <w:sz w:val="18"/>
          <w:lang w:val="es-AR" w:eastAsia="es-AR" w:bidi="es-AR"/>
        </w:rPr>
      </w:pPr>
    </w:p>
    <w:p>
      <w:pPr>
        <w:pStyle w:val="[Normal]"/>
        <w:ind w:firstLine="1134"/>
        <w:jc w:val="both"/>
        <w:rPr>
          <w:b/>
          <w:sz w:val="18"/>
          <w:lang w:val="es-AR" w:eastAsia="es-AR" w:bidi="es-AR"/>
        </w:rPr>
      </w:pPr>
    </w:p>
    <w:p>
      <w:pPr>
        <w:pStyle w:val="[Normal]"/>
        <w:ind w:firstLine="1134"/>
        <w:jc w:val="both"/>
        <w:rPr>
          <w:b/>
          <w:sz w:val="18"/>
          <w:lang w:val="es-AR" w:eastAsia="es-AR" w:bidi="es-AR"/>
        </w:rPr>
      </w:pPr>
    </w:p>
    <w:p>
      <w:pPr>
        <w:pStyle w:val="[Normal]"/>
        <w:ind w:firstLine="1134"/>
        <w:jc w:val="both"/>
        <w:rPr>
          <w:b/>
          <w:sz w:val="18"/>
          <w:lang w:val="es-AR" w:eastAsia="es-AR" w:bidi="es-AR"/>
        </w:rPr>
      </w:pPr>
      <w:r>
        <w:rPr>
          <w:b/>
          <w:sz w:val="18"/>
          <w:lang w:val="es-AR" w:eastAsia="es-AR" w:bidi="es-AR"/>
        </w:rPr>
        <w:t xml:space="preserve">Roberto Manuel Degleue                                         </w:t>
      </w:r>
    </w:p>
    <w:p>
      <w:pPr>
        <w:pStyle w:val="[Normal]"/>
        <w:ind w:firstLine="1134"/>
        <w:jc w:val="both"/>
        <w:rPr>
          <w:b/>
          <w:sz w:val="18"/>
          <w:lang w:val="es-AR" w:eastAsia="es-AR" w:bidi="es-AR"/>
        </w:rPr>
      </w:pPr>
      <w:r>
        <w:rPr>
          <w:b/>
          <w:sz w:val="18"/>
          <w:lang w:val="es-AR" w:eastAsia="es-AR" w:bidi="es-AR"/>
        </w:rPr>
        <w:t xml:space="preserve">                 Juez</w:t>
      </w:r>
    </w:p>
    <w:p>
      <w:pPr>
        <w:pStyle w:val="[Normal]"/>
        <w:ind w:firstLine="1134"/>
        <w:jc w:val="both"/>
        <w:rPr>
          <w:b/>
          <w:sz w:val="18"/>
          <w:lang w:val="es-AR" w:eastAsia="es-AR" w:bidi="es-AR"/>
        </w:rPr>
      </w:pPr>
    </w:p>
    <w:p>
      <w:pPr>
        <w:pStyle w:val="[Normal]"/>
        <w:ind w:firstLine="1134"/>
        <w:jc w:val="both"/>
        <w:rPr>
          <w:b/>
          <w:sz w:val="18"/>
          <w:lang w:val="es-AR" w:eastAsia="es-AR" w:bidi="es-AR"/>
        </w:rPr>
      </w:pPr>
    </w:p>
    <w:p>
      <w:pPr>
        <w:pStyle w:val="[Normal]"/>
        <w:ind w:firstLine="1134"/>
        <w:jc w:val="both"/>
        <w:rPr>
          <w:b/>
          <w:sz w:val="18"/>
          <w:lang w:val="es-AR" w:eastAsia="es-AR" w:bidi="es-AR"/>
        </w:rPr>
      </w:pPr>
    </w:p>
    <w:p>
      <w:pPr>
        <w:pStyle w:val="[Normal]"/>
        <w:ind w:firstLine="1134"/>
        <w:jc w:val="center"/>
        <w:rPr>
          <w:b/>
          <w:sz w:val="18"/>
          <w:lang w:val="es-AR" w:eastAsia="es-AR" w:bidi="es-AR"/>
        </w:rPr>
      </w:pPr>
      <w:r>
        <w:rPr>
          <w:b/>
          <w:sz w:val="18"/>
          <w:lang w:val="es-AR" w:eastAsia="es-AR" w:bidi="es-AR"/>
        </w:rPr>
        <w:t xml:space="preserve">Stella Maris Albani </w:t>
      </w:r>
    </w:p>
    <w:p>
      <w:pPr>
        <w:pStyle w:val="[Normal]"/>
        <w:ind w:firstLine="1134"/>
        <w:jc w:val="center"/>
        <w:rPr>
          <w:b/>
          <w:sz w:val="18"/>
          <w:lang w:val="es-AR" w:eastAsia="es-AR" w:bidi="es-AR"/>
        </w:rPr>
      </w:pPr>
      <w:r>
        <w:rPr>
          <w:b/>
          <w:sz w:val="18"/>
          <w:lang w:val="es-AR" w:eastAsia="es-AR" w:bidi="es-AR"/>
        </w:rPr>
        <w:t xml:space="preserve">Secretaria</w:t>
      </w:r>
    </w:p>
    <w:p>
      <w:pPr>
        <w:pStyle w:val="[Normal]"/>
        <w:rPr>
          <w:b/>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