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rPr>
          <w:lang w:val="es-AR" w:eastAsia="es-AR" w:bidi="es-AR"/>
        </w:rPr>
      </w:pPr>
      <w:r>
        <w:rPr>
          <w:sz w:val="20"/>
          <w:lang w:val="es-AR" w:eastAsia="es-AR" w:bidi="es-AR"/>
        </w:rPr>
        <w:t xml:space="preserve"> </w:t>
      </w:r>
      <w:r>
        <w:rPr>
          <w:b/>
          <w:lang w:val="es-AR" w:eastAsia="es-AR" w:bidi="es-AR"/>
        </w:rPr>
        <w:t xml:space="preserve">Registro N°   182 /</w:t>
      </w:r>
      <w:r>
        <w:rPr>
          <w:b/>
          <w:color w:val="000000"/>
          <w:lang w:val="es-AR" w:eastAsia="es-AR" w:bidi="es-AR"/>
        </w:rPr>
        <w:t xml:space="preserve">2018</w:t>
      </w:r>
      <w:r>
        <w:rPr>
          <w:color w:val="000000"/>
          <w:lang w:val="es-AR" w:eastAsia="es-AR" w:bidi="es-AR"/>
        </w:rPr>
        <w:t xml:space="preserve"> </w:t>
      </w:r>
    </w:p>
    <w:p>
      <w:pPr>
        <w:pStyle w:val="[Normal]"/>
        <w:spacing w:line="360" w:lineRule="auto"/>
        <w:jc w:val="both"/>
        <w:rPr>
          <w:lang w:val="es-AR" w:eastAsia="es-AR" w:bidi="es-AR"/>
        </w:rPr>
      </w:pPr>
      <w:r>
        <w:rPr>
          <w:b/>
          <w:lang w:val="es-AR" w:eastAsia="es-AR" w:bidi="es-AR"/>
        </w:rPr>
        <w:t xml:space="preserve">	Fojas  877/883</w:t>
      </w:r>
    </w:p>
    <w:p>
      <w:pPr>
        <w:pStyle w:val="[Normal]"/>
        <w:spacing w:line="36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28 de noviembre de </w:t>
      </w:r>
      <w:r>
        <w:rPr>
          <w:color w:val="000000"/>
          <w:lang w:val="es-AR" w:eastAsia="es-AR" w:bidi="es-AR"/>
        </w:rPr>
        <w:t xml:space="preserve">2018</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3355-18</w:t>
      </w:r>
      <w:r>
        <w:rPr>
          <w:lang w:val="es-AR" w:eastAsia="es-AR" w:bidi="es-AR"/>
        </w:rPr>
        <w:t xml:space="preserve"> caratulada </w:t>
      </w:r>
      <w:r>
        <w:rPr>
          <w:b/>
          <w:lang w:val="es-AR" w:eastAsia="es-AR" w:bidi="es-AR"/>
        </w:rPr>
        <w:t xml:space="preserve">"</w:t>
      </w:r>
      <w:r>
        <w:rPr>
          <w:b/>
          <w:color w:val="000000"/>
          <w:lang w:val="es-AR" w:eastAsia="es-AR" w:bidi="es-AR"/>
        </w:rPr>
        <w:t xml:space="preserve">GARCIA PAJUELO PABLO GASTON  C/ BANCO DE SERVICIOS Y TRANSACCIONES S.A. S/ HABEAS DATA</w:t>
      </w:r>
      <w:r>
        <w:rPr>
          <w:b/>
          <w:lang w:val="es-AR" w:eastAsia="es-AR" w:bidi="es-AR"/>
        </w:rPr>
        <w:t xml:space="preserve">" </w:t>
      </w:r>
      <w:r>
        <w:rPr>
          <w:lang w:val="es-AR" w:eastAsia="es-AR" w:bidi="es-AR"/>
        </w:rPr>
        <w:t xml:space="preserve">, Expte. </w:t>
      </w:r>
      <w:r>
        <w:rPr>
          <w:color w:val="000000"/>
          <w:lang w:val="es-AR" w:eastAsia="es-AR" w:bidi="es-AR"/>
        </w:rPr>
        <w:t xml:space="preserve">81.202</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2,</w:t>
      </w:r>
      <w:r>
        <w:rPr>
          <w:lang w:val="es-AR" w:eastAsia="es-AR" w:bidi="es-AR"/>
        </w:rPr>
        <w:t xml:space="preserve"> se practicó el sorteo de ley que determinó que la votación debía efectuarse en el siguiente orden: Dres. </w:t>
      </w:r>
      <w:r>
        <w:rPr>
          <w:color w:val="000000"/>
          <w:lang w:val="es-AR" w:eastAsia="es-AR" w:bidi="es-AR"/>
        </w:rPr>
        <w:t xml:space="preserve">Graciela Scaraffia y Roberto Degleue</w:t>
      </w:r>
      <w:r>
        <w:rPr>
          <w:lang w:val="es-AR" w:eastAsia="es-AR" w:bidi="es-AR"/>
        </w:rPr>
        <w:t xml:space="preserve"> y estudiados los autos se resolvió plantear y votar las siguientes: </w:t>
      </w:r>
    </w:p>
    <w:p>
      <w:pPr>
        <w:pStyle w:val="[Normal]"/>
        <w:spacing w:line="48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la señora Jueza </w:t>
      </w:r>
      <w:r>
        <w:rPr>
          <w:color w:val="000000"/>
          <w:lang w:val="es-AR" w:eastAsia="es-AR" w:bidi="es-AR"/>
        </w:rPr>
        <w:t xml:space="preserve">Graciela Scaraffia </w:t>
      </w:r>
      <w:r>
        <w:rPr>
          <w:lang w:val="es-AR" w:eastAsia="es-AR" w:bidi="es-AR"/>
        </w:rPr>
        <w:t xml:space="preserve">dijo: </w:t>
      </w:r>
    </w:p>
    <w:p>
      <w:pPr>
        <w:pStyle w:val="[Normal]"/>
        <w:spacing w:line="480" w:lineRule="auto"/>
        <w:ind w:firstLine="1134"/>
        <w:jc w:val="both"/>
        <w:rPr>
          <w:color w:val="000000"/>
          <w:lang w:val="es-AR" w:eastAsia="es-AR" w:bidi="es-AR"/>
        </w:rPr>
      </w:pPr>
      <w:r>
        <w:rPr>
          <w:lang w:val="es-AR" w:eastAsia="es-AR" w:bidi="es-AR"/>
        </w:rPr>
        <w:t xml:space="preserve">El Sr. Juez de la anterior instancia rechazó </w:t>
      </w:r>
      <w:r>
        <w:rPr>
          <w:color w:val="000000"/>
          <w:lang w:val="es-AR" w:eastAsia="es-AR" w:bidi="es-AR"/>
        </w:rPr>
        <w:t xml:space="preserve">la demanda entablada por el actor. Impuso las costas por su orden a cuyos efectos tomó como base arancelaria la doctrina de la causa de la SCBA. " Morcillo", y reguló  los honorarios de los Dres. María B. Latorre en la suma de  $ 9.700 equivalente a 10 IUS (ver Ac. 003869 de la SCBA. del 18 / 10 / 2017) (Arts. 14 / 16, 28, 49, 54 de la ley 8904, con más el adicional de ley (arts. 12 inc. a) y 16 Ley 6717 y modif.), hasta el 31 de octubre de 2017 y por las tareas realizadas con posterioridad en la suma de 25 IUS (arts. 14 / 16, 28, 49 de la Ley 14.967), con más el adicional de ley. Y los del  Diego Goicoechea, en la suma de $ 7.760, equivalente al 20 % menos en la misma inteligencia que lo decido en relación al Letrado actor y en la de 20 IUS (arts. 14 / 16, 49, 54 de la ley 8905), con más el adicional de ley y arts. 14 / 16, 49 y ccs. de la ley 14.967 más los adicionales legales.</w:t>
      </w:r>
    </w:p>
    <w:p>
      <w:pPr>
        <w:pStyle w:val="[Normal]"/>
        <w:spacing w:line="480" w:lineRule="auto"/>
        <w:ind w:firstLine="1134"/>
        <w:jc w:val="both"/>
        <w:rPr>
          <w:lang w:val="es-AR" w:eastAsia="es-AR" w:bidi="es-AR"/>
        </w:rPr>
      </w:pPr>
      <w:r>
        <w:rPr>
          <w:lang w:val="es-AR" w:eastAsia="es-AR" w:bidi="es-AR"/>
        </w:rPr>
        <w:t xml:space="preserve">Tal decisorio fue objeto del recurso de apelación por la actora a fs. 289/302, concedido a fs. 303 en relación y con efecto devolutivo, y del mismo se ordenó el traslado a la contraparte.  A fs. 306 no habiendo la parte demandada contestado el traslado ordenado a fs. 303, se le dió por perdido el derecho dejado de usar.  A fs. 313/vta. llamamiento de autos, providencia, que firme a la fecha deja la causa en condiciones de ser fallada.</w:t>
      </w:r>
    </w:p>
    <w:p>
      <w:pPr>
        <w:pStyle w:val="[Normal]"/>
        <w:spacing w:line="480" w:lineRule="auto"/>
        <w:ind w:firstLine="1134"/>
        <w:jc w:val="both"/>
        <w:rPr>
          <w:lang w:val="es-AR" w:eastAsia="es-AR" w:bidi="es-AR"/>
        </w:rPr>
      </w:pPr>
      <w:r>
        <w:rPr>
          <w:lang w:val="es-AR" w:eastAsia="es-AR" w:bidi="es-AR"/>
        </w:rPr>
        <w:t xml:space="preserve">Se duele el quejoso afirmando  que el sentenciante de grado ha negado el reconocimiento de un derecho constitucional previsto en el art. 43 de la C.N., cual es el acceso al valor Verdad como asimismo ha confundido a los sujetos demandados permitiendo que un tercero se presente en el proceso y conteste la demanda, con cita de precedentes del Supremo Tribunal Provincial y Nacional.-</w:t>
      </w:r>
    </w:p>
    <w:p>
      <w:pPr>
        <w:pStyle w:val="[Normal]"/>
        <w:spacing w:line="480" w:lineRule="auto"/>
        <w:ind w:firstLine="1134"/>
        <w:jc w:val="both"/>
        <w:rPr>
          <w:lang w:val="es-AR" w:eastAsia="es-AR" w:bidi="es-AR"/>
        </w:rPr>
      </w:pPr>
      <w:r>
        <w:rPr>
          <w:lang w:val="es-AR" w:eastAsia="es-AR" w:bidi="es-AR"/>
        </w:rPr>
        <w:t xml:space="preserve">Plantea en primer lugar la nulidad de la sentencia ínsita en el recurso de apelación señalando que ha tenido por contestada la demanda por parte de Banco de Servicios y Transacciones S. A. cuando de las constancias surge que no ha comparecido a estar a derecho y no ha formalizado el escrito de responde, permitiendo que una tercera sociedad comparezca cuando no ha sido demandada, viciando el desarrollo del proceso.-</w:t>
      </w:r>
    </w:p>
    <w:p>
      <w:pPr>
        <w:pStyle w:val="[Normal]"/>
        <w:spacing w:line="480" w:lineRule="auto"/>
        <w:ind w:firstLine="1134"/>
        <w:jc w:val="both"/>
        <w:rPr>
          <w:lang w:val="es-AR" w:eastAsia="es-AR" w:bidi="es-AR"/>
        </w:rPr>
      </w:pPr>
      <w:r>
        <w:rPr>
          <w:lang w:val="es-AR" w:eastAsia="es-AR" w:bidi="es-AR"/>
        </w:rPr>
        <w:t xml:space="preserve">Dice que eventualmente el contrato de fideicomiso entre dichas sociedades una cuestión ajena al actor quien originariamente dirigió su accionar contra Banco de Servicios y Transacciones SA (BST), siendo ésta ultima quien debió comparecer en autos, tratándose de una persona jurídica legalmente constituida y con su correspondiente identificación tributaria, interrogándose acerca de como el operador permitió dicha participación pese a la oposición que dedujera su parte en forma oportuna y que fuera rechazada por cuestiones formales, propias de la ley 14.124, sin que se haya analizado el fondo lo cual hubiera evitado un desgaste y demora innecesario.-</w:t>
      </w:r>
    </w:p>
    <w:p>
      <w:pPr>
        <w:pStyle w:val="[Normal]"/>
        <w:spacing w:line="480" w:lineRule="auto"/>
        <w:ind w:firstLine="1134"/>
        <w:jc w:val="both"/>
        <w:rPr>
          <w:lang w:val="es-AR" w:eastAsia="es-AR" w:bidi="es-AR"/>
        </w:rPr>
      </w:pPr>
      <w:r>
        <w:rPr>
          <w:lang w:val="es-AR" w:eastAsia="es-AR" w:bidi="es-AR"/>
        </w:rPr>
        <w:t xml:space="preserve">También expresa que no resulta lógico que la carta documento del art. 14 remitida al sujeto demandado haya sido contestada por Banco de Servicios y Transacciones S. A. pero luego la demanda fuera contestada por Banco Saenz S. A., contradiciendo los propios argumentos del sentenciante de primera instancia.  Solicita se decrete la nulidad de la sentencia.-</w:t>
      </w:r>
    </w:p>
    <w:p>
      <w:pPr>
        <w:pStyle w:val="[Normal]"/>
        <w:spacing w:line="480" w:lineRule="auto"/>
        <w:ind w:firstLine="1134"/>
        <w:jc w:val="both"/>
        <w:rPr>
          <w:lang w:val="es-AR" w:eastAsia="es-AR" w:bidi="es-AR"/>
        </w:rPr>
      </w:pPr>
      <w:r>
        <w:rPr>
          <w:lang w:val="es-AR" w:eastAsia="es-AR" w:bidi="es-AR"/>
        </w:rPr>
        <w:t xml:space="preserve">El segundo agravio lo apontoca en que se tuviera por contestado el requerimiento extrajudicial previsto exigido por la ley 14.214 cuando en rigor no hubo respuesta suficiente y completa en los términos del art. 14 y 15 de la Ley Nacional 25.326 y Dec. reglamentario 1558/2001.-</w:t>
      </w:r>
    </w:p>
    <w:p>
      <w:pPr>
        <w:pStyle w:val="[Normal]"/>
        <w:spacing w:line="480" w:lineRule="auto"/>
        <w:ind w:firstLine="1134"/>
        <w:jc w:val="both"/>
        <w:rPr>
          <w:lang w:val="es-AR" w:eastAsia="es-AR" w:bidi="es-AR"/>
        </w:rPr>
      </w:pPr>
      <w:r>
        <w:rPr>
          <w:lang w:val="es-AR" w:eastAsia="es-AR" w:bidi="es-AR"/>
        </w:rPr>
        <w:t xml:space="preserve">Es que la respuesta parcial o incompleta permite al actor ejercer su derecho de acceso a la información a fin de que la misma le brinde en los términos de la normativa expuesta, con cita de fallos.-</w:t>
      </w:r>
    </w:p>
    <w:p>
      <w:pPr>
        <w:pStyle w:val="[Normal]"/>
        <w:spacing w:line="480" w:lineRule="auto"/>
        <w:ind w:firstLine="1134"/>
        <w:jc w:val="both"/>
        <w:rPr>
          <w:lang w:val="es-AR" w:eastAsia="es-AR" w:bidi="es-AR"/>
        </w:rPr>
      </w:pPr>
      <w:r>
        <w:rPr>
          <w:lang w:val="es-AR" w:eastAsia="es-AR" w:bidi="es-AR"/>
        </w:rPr>
        <w:t xml:space="preserve">También dice que yerra cuando nomina al presente como un "hábeas data financiero" afirmando que se trata de un "hábeas data informativo", acudiendo a cita de doctrina para conceptuarlo.-</w:t>
      </w:r>
    </w:p>
    <w:p>
      <w:pPr>
        <w:pStyle w:val="[Normal]"/>
        <w:spacing w:line="480" w:lineRule="auto"/>
        <w:ind w:firstLine="1134"/>
        <w:jc w:val="both"/>
        <w:rPr>
          <w:lang w:val="es-AR" w:eastAsia="es-AR" w:bidi="es-AR"/>
        </w:rPr>
      </w:pPr>
      <w:r>
        <w:rPr>
          <w:lang w:val="es-AR" w:eastAsia="es-AR" w:bidi="es-AR"/>
        </w:rPr>
        <w:t xml:space="preserve">Dice que el sentenciante ha perdido el foco del problema cuando acudió a la normativa del Banco central y que lo valoró por sobre una ley de jerarquía constitucional (art. 43 C.N).-</w:t>
      </w:r>
    </w:p>
    <w:p>
      <w:pPr>
        <w:pStyle w:val="[Normal]"/>
        <w:spacing w:line="480" w:lineRule="auto"/>
        <w:ind w:firstLine="1134"/>
        <w:jc w:val="both"/>
        <w:rPr>
          <w:lang w:val="es-AR" w:eastAsia="es-AR" w:bidi="es-AR"/>
        </w:rPr>
      </w:pPr>
      <w:r>
        <w:rPr>
          <w:lang w:val="es-AR" w:eastAsia="es-AR" w:bidi="es-AR"/>
        </w:rPr>
        <w:t xml:space="preserve">El tercer punto de queja lo motiva sobre las costas que pretende caigan sobre el accionado y asimismo sobre la regulación de honorarios que califica de insuficiente.-</w:t>
      </w:r>
    </w:p>
    <w:p>
      <w:pPr>
        <w:pStyle w:val="[Normal]"/>
        <w:spacing w:line="480" w:lineRule="auto"/>
        <w:ind w:firstLine="1134"/>
        <w:jc w:val="both"/>
        <w:rPr>
          <w:lang w:val="es-AR" w:eastAsia="es-AR" w:bidi="es-AR"/>
        </w:rPr>
      </w:pPr>
      <w:r>
        <w:rPr>
          <w:lang w:val="es-AR" w:eastAsia="es-AR" w:bidi="es-AR"/>
        </w:rPr>
        <w:t xml:space="preserve">El agravio que versa sobre la legitimación del Banco Saenz S.A. sobre el que se detiene el doliente señalando que no fue demandado y que ingresara al proceso contestando la demanda, fue objeto de cuestionamiento que llevara a deducir revocatoria con apelación en subsidio que denegada, originara la queja que fuera resuelta por esta Alzada a fs. 233 donde se desestima el fundado  sobre el punto II de fs. 227, puesto en crisis señalándose allí que la improcedencia de articulación de incidentes propuesto por la misma ley 14.214 (art. 13 y 16 a contrario sensu).  También se dijo en aquel momento que ello habría de ser objeto de tratamiento o examen en la sentencia definitiva por lo cual no aparecía un agravio irreparable en esa oportunidad.  También se abordó  que la presentación del debido patrocinio letrado no fue extemporánea ya que el operador integró la presentación de fs. 126/7 con la de fs. 223 teniendo por parte a la presentada a fs. 227.-</w:t>
      </w:r>
    </w:p>
    <w:p>
      <w:pPr>
        <w:pStyle w:val="[Normal]"/>
        <w:spacing w:line="480" w:lineRule="auto"/>
        <w:ind w:firstLine="1134"/>
        <w:jc w:val="both"/>
        <w:rPr>
          <w:lang w:val="es-AR" w:eastAsia="es-AR" w:bidi="es-AR"/>
        </w:rPr>
      </w:pPr>
      <w:r>
        <w:rPr>
          <w:lang w:val="es-AR" w:eastAsia="es-AR" w:bidi="es-AR"/>
        </w:rPr>
        <w:t xml:space="preserve">De este repaso procesal surge que el cuestionamiento de la legitimación pasiva otrora formalizada por la parte actora, debía ser resuelto en la sentencia, como lo hizo ahora el aquo dando por acreditada la existencia de una contratación entre fiduciante y fiduciario, que hoy provoca la queja del recurrente y que debe ser objeto de tratamiento en la Alzada puesto que ha sido traído como objeto de la tarea revisora.- </w:t>
      </w:r>
    </w:p>
    <w:p>
      <w:pPr>
        <w:pStyle w:val="[Normal]"/>
        <w:spacing w:line="480" w:lineRule="auto"/>
        <w:ind w:firstLine="1134"/>
        <w:jc w:val="both"/>
        <w:rPr>
          <w:lang w:val="es-AR" w:eastAsia="es-AR" w:bidi="es-AR"/>
        </w:rPr>
      </w:pPr>
      <w:r>
        <w:rPr>
          <w:lang w:val="es-AR" w:eastAsia="es-AR" w:bidi="es-AR"/>
        </w:rPr>
        <w:t xml:space="preserve">Para decidir como lo hizo el operador de primera instancia señaló que entre el Banco Saenz S. A. y el Banco de Servicios y Transacciones S. A. celebraron el contrato de "Fideicomiso Financiero Privado Banco Saenz S. A. X" y por el cual el primero de ellos se constituyó en fiduciante administrador y en su calidad de tal asumió las obligaciones que se identifican en el acuerdo en los arts. 1.8 punto e), 3.1, 3.3., 3.4 punto b), c), e), 4.1 punto e), art. 4.4 punto b), desprendiéndose de todo ello que el fiduciario le cedió al fiduciante la administración de la cartera de créditos de los tomadores para su administración y dentro de la misma, este último asume la representación para realizar todos los actos relativos a la administración de los créditos y su cobro, pactándose entre las partes del fideicomiso la representación para iniciar juicios como para defenderse en cabeza del administrador fiduciante y que el poder extendido para tal entidad al apoderado presentante, quien lo hace con el patrocinio de la Dra. Latorre.-</w:t>
      </w:r>
    </w:p>
    <w:p>
      <w:pPr>
        <w:pStyle w:val="[Normal]"/>
        <w:spacing w:line="480" w:lineRule="auto"/>
        <w:ind w:firstLine="1134"/>
        <w:jc w:val="both"/>
        <w:rPr>
          <w:lang w:val="es-AR" w:eastAsia="es-AR" w:bidi="es-AR"/>
        </w:rPr>
      </w:pPr>
      <w:r>
        <w:rPr>
          <w:lang w:val="es-AR" w:eastAsia="es-AR" w:bidi="es-AR"/>
        </w:rPr>
        <w:t xml:space="preserve">Es decir que el tratamiento de la legitimación pasiva puesto en crisis por el recurrente ha sido resuelto por el juzgador en la sentencia, más allá del disgusto del quejoso con su resultado.  Por lo que la queja que versa sobre el primer punto y que acarrea el pedido de nulidad formalizado por el doliente, ha de ser desestimado.-</w:t>
      </w:r>
    </w:p>
    <w:p>
      <w:pPr>
        <w:pStyle w:val="[Normal]"/>
        <w:spacing w:line="480" w:lineRule="auto"/>
        <w:ind w:firstLine="1134"/>
        <w:jc w:val="both"/>
        <w:rPr>
          <w:lang w:val="es-AR" w:eastAsia="es-AR" w:bidi="es-AR"/>
        </w:rPr>
      </w:pPr>
      <w:r>
        <w:rPr>
          <w:lang w:val="es-AR" w:eastAsia="es-AR" w:bidi="es-AR"/>
        </w:rPr>
        <w:t xml:space="preserve">Empero, otra suerte han de correr el resto de los agravios planteados por el recurrente.-</w:t>
      </w:r>
    </w:p>
    <w:p>
      <w:pPr>
        <w:pStyle w:val="[Normal]"/>
        <w:spacing w:line="480" w:lineRule="auto"/>
        <w:ind w:firstLine="1134"/>
        <w:jc w:val="both"/>
        <w:rPr>
          <w:lang w:val="es-AR" w:eastAsia="es-AR" w:bidi="es-AR"/>
        </w:rPr>
      </w:pPr>
      <w:r>
        <w:rPr>
          <w:lang w:val="es-AR" w:eastAsia="es-AR" w:bidi="es-AR"/>
        </w:rPr>
        <w:t xml:space="preserve">Claramente se advierte que en ese marco de contratación entre fiduciario y fiduciante documentado a fs. 201/215, que pudieron ser conocidos por el accionante sólo en oportunidad de la litigación (escrito de responde de la demanda y no antes) lo que importa destacar es que hubo datos obtenidos por cesión, o sea aquellos casos enumerados por el art. 26 inc 3) en el capítulo de prestación de servicios de información crediticia contemplados en la ley 25.326 y que en virtud de ello el obligado Banco Saenz S. A. así como respondió la demanda y fue parte en el proceso, también ha de responder frente a la acción de hábeas data pretendida, lo que me lleva a apartarme de la solución dada en primera instancia.-</w:t>
      </w:r>
    </w:p>
    <w:p>
      <w:pPr>
        <w:pStyle w:val="[Normal]"/>
        <w:spacing w:line="480" w:lineRule="auto"/>
        <w:ind w:firstLine="1134"/>
        <w:jc w:val="both"/>
        <w:rPr>
          <w:lang w:val="es-AR" w:eastAsia="es-AR" w:bidi="es-AR"/>
        </w:rPr>
      </w:pPr>
      <w:r>
        <w:rPr>
          <w:lang w:val="es-AR" w:eastAsia="es-AR" w:bidi="es-AR"/>
        </w:rPr>
        <w:t xml:space="preserve">La plataforma fáctica da cuenta que el peticionante es un empleado municipal, quien alegara vivir modestamente cuidado sus ingresos para vivir junto a su grupo familiar.-Que en oportunidad de haber solicitado un préstamo y para tomar conocimiento de su calificación, a la empresa INFORMAR ARGENTINA S. A. y a la ORGANIZACION VERAZ S. A. se anotició  que el hoy demandado resulta fiducario del fideicomiso F. F. Privado Banco Saenz X, quien lo informara como deudor.  Que el desconocimiento de la deuda, su origen y acreedor y su información como moroso en el sistema señalado imposibilitó acceder a préstamos, abrir cuentas bancarias, trabajar con tarjetas de créditos, efectuar comprar en comercios con la modalidad en cuotas, por lo que envío en fecha 3 de mayo de 2017 una carta documento a Banco de Servicios y Transacciones S. A., quien no contestó el requerimiento en debida y total forma, vulnerando la normativa aplicable (arts. 14 Ley 25.326) y 15 Decreto Reglamentario 1558/01).-</w:t>
      </w:r>
    </w:p>
    <w:p>
      <w:pPr>
        <w:pStyle w:val="[Normal]"/>
        <w:spacing w:line="480" w:lineRule="auto"/>
        <w:ind w:firstLine="1134"/>
        <w:jc w:val="both"/>
        <w:rPr>
          <w:lang w:val="es-AR" w:eastAsia="es-AR" w:bidi="es-AR"/>
        </w:rPr>
      </w:pPr>
      <w:r>
        <w:rPr>
          <w:lang w:val="es-AR" w:eastAsia="es-AR" w:bidi="es-AR"/>
        </w:rPr>
        <w:t xml:space="preserve">Efectivamente esto ha sido probado y no ha sido puesto en crisis, claramente cuando quiso el accionante acceder a la información cumpliendo el paso previo que la ley indica, la respuesta no fue satisfactoria y a la postre, luego de judicializar la cuestión, originariamente demandó a alguien que por una contratación fiduciaria fue sustituida por otra empresa como ya se dijo, haciendo mas flagrante aún la falta de adecuada información o creando una confusión difícil de explicar.-</w:t>
      </w:r>
    </w:p>
    <w:p>
      <w:pPr>
        <w:pStyle w:val="[Normal]"/>
        <w:spacing w:line="480" w:lineRule="auto"/>
        <w:ind w:firstLine="1134"/>
        <w:jc w:val="both"/>
        <w:rPr>
          <w:color w:val="000000"/>
          <w:lang w:val="es-AR" w:eastAsia="es-AR" w:bidi="es-AR"/>
        </w:rPr>
      </w:pPr>
      <w:r>
        <w:rPr>
          <w:color w:val="000000"/>
          <w:lang w:val="es-AR" w:eastAsia="es-AR" w:bidi="es-AR"/>
        </w:rPr>
        <w:t xml:space="preserve">Se ha dicho en materia análoga a la presente, que si bien la regla clásica en la materia postula que cada litigante debe probar los presupuestos de hecho en los cuales apoya sus pretensiones o defensas (art. 375 del C.P.C.), el principio se ha visto impactado por la moderna doctrina de las cargas probatorias dinámicas, que propone el desplazamiento del onus probandi con relación a las circunstancias del caso.  En este contexto, al haberse dirigido la acción de hábeas data contra el banco, fuente del dato impugnado o cuestionado, a él correspondía necesariamente acreditar la veracidad del mismo en razón de resultar el sujeto procesal posicionado en mejores condiciones de producir la prueba, puesto que de allí provino el dato y en sus registros documentales se encontraba el material necesario para despejar el interrogante postulado al respecto.  Es decir, medía aquí un desplazamiento de la carga probatoria hacia el banco fuente, pues lo contrario conduciría lisa y llanamente a poner en cabeza del titular de los datos una carga de imposible cumplimiento frente a la negativa o silencio procesal de la entidad demandada (confr. Cám. Civ. y Com. sala 1º SN causas 8435 RSD 106/07; 9003 RSD 164/08).-</w:t>
      </w:r>
    </w:p>
    <w:p>
      <w:pPr>
        <w:pStyle w:val="[Normal]"/>
        <w:spacing w:line="480" w:lineRule="auto"/>
        <w:ind w:firstLine="1134"/>
        <w:jc w:val="both"/>
        <w:rPr>
          <w:lang w:val="es-AR" w:eastAsia="es-AR" w:bidi="es-AR"/>
        </w:rPr>
      </w:pPr>
      <w:r>
        <w:rPr>
          <w:color w:val="000000"/>
          <w:lang w:val="es-AR" w:eastAsia="es-AR" w:bidi="es-AR"/>
        </w:rPr>
        <w:t xml:space="preserve">Para la procedencia del hábeas data en los términos planteados en demanda, se requiere del dato objetivo de una información falsa registrada en un archivo, que afecte la actividad de una persona.  En tal caso, es la entidad bancaria que suministró el dato quien debe aportar los elementos que llevaron a la calificación del accionante como deudor (situación 5), a fin de desvirtuar la calidad de falso alegada pues no puede ponerse en cabeza del mismo la prueba de hechos negativos que la confirmen. Justamente el art. 38 inc. 2 de la ley 25.326 que cita el a-quo, expresa que el accionante deberá alegar -no probar-, los motivos por los cuales considera que la información que le atañe es falsa.-</w:t>
      </w:r>
    </w:p>
    <w:p>
      <w:pPr>
        <w:pStyle w:val="[Normal]"/>
        <w:spacing w:line="480" w:lineRule="auto"/>
        <w:ind w:firstLine="1134"/>
        <w:jc w:val="both"/>
        <w:rPr>
          <w:lang w:val="es-AR" w:eastAsia="es-AR" w:bidi="es-AR"/>
        </w:rPr>
      </w:pPr>
      <w:r>
        <w:rPr>
          <w:lang w:val="es-AR" w:eastAsia="es-AR" w:bidi="es-AR"/>
        </w:rPr>
        <w:t xml:space="preserve">Recuérdase que la acción de hábeas data de carácter constitucional (art. 43 C.N) complementada por la ley 25.326 y su decreto reglamentario, así como así como la ley 14.214 instituyen la protección de integral de los datos personales asentados en archivos, registros, y otros medios técnicos de tratamiento de datos, así como el acceso a la información que los mismos registren, estableciendo el art. 4 que los datos deben ser precisos y deben actualizarse en el caso que ello fuera necesario, permitiendo en todo momento el ejercicio del derecho de acceso a su titular, lo que en la especie resulta confuso, porque claramente se obtuvieron datos por cesión dada la sustitución de empresas.-</w:t>
      </w:r>
    </w:p>
    <w:p>
      <w:pPr>
        <w:pStyle w:val="[Normal]"/>
        <w:spacing w:line="480" w:lineRule="auto"/>
        <w:ind w:firstLine="1134"/>
        <w:jc w:val="both"/>
        <w:rPr>
          <w:lang w:val="es-AR" w:eastAsia="es-AR" w:bidi="es-AR"/>
        </w:rPr>
      </w:pPr>
      <w:r>
        <w:rPr>
          <w:lang w:val="es-AR" w:eastAsia="es-AR" w:bidi="es-AR"/>
        </w:rPr>
        <w:t xml:space="preserve">El art. 16 de la norma citada delinea claramente el derecho de la persona a que sean rectificados, actualizados, suprimidos o sometidos a confidencialidad, y en el inc 4) se establece que en caso de cesión, o transferencia de datos, el responsable o usuario del banco de datos debe notificar la rectificación o supresión al cesionario dentro del quinto día hábil de efectuado el tratamiento del dato, circunstancia ésta que la empresa demandada no ha acreditado.-</w:t>
      </w:r>
    </w:p>
    <w:p>
      <w:pPr>
        <w:pStyle w:val="[Normal]"/>
        <w:spacing w:line="480" w:lineRule="auto"/>
        <w:ind w:firstLine="1134"/>
        <w:jc w:val="both"/>
        <w:rPr>
          <w:lang w:val="es-AR" w:eastAsia="es-AR" w:bidi="es-AR"/>
        </w:rPr>
      </w:pPr>
      <w:r>
        <w:rPr>
          <w:lang w:val="es-AR" w:eastAsia="es-AR" w:bidi="es-AR"/>
        </w:rPr>
        <w:t xml:space="preserve">Más aún el art. 26 establece que a solicitud del titular de los datos, el responsable o usuario del banco de datos, le comunicará las informaciones, evaluaciones y apreciaciones que sobre el mismo hayan sido comunicadas durante los últimos 6 meses, y el nombre y domicilio del cesionario en el supuesto de datos obtenidos por cesión.  Claramente esto tampoco ha sido acreditado por quien estaba en mejores condiciones de probarlo como fueron el fiduciario y el fiduciante, lo que acarrea sin duda una falta de información que vulnera el derecho del accionante.-</w:t>
      </w:r>
    </w:p>
    <w:p>
      <w:pPr>
        <w:pStyle w:val="[Normal]"/>
        <w:spacing w:line="480" w:lineRule="auto"/>
        <w:ind w:firstLine="1134"/>
        <w:jc w:val="both"/>
        <w:rPr>
          <w:lang w:val="es-AR" w:eastAsia="es-AR" w:bidi="es-AR"/>
        </w:rPr>
      </w:pPr>
      <w:r>
        <w:rPr>
          <w:lang w:val="es-AR" w:eastAsia="es-AR" w:bidi="es-AR"/>
        </w:rPr>
        <w:t xml:space="preserve">Del mismo modo se advierte que la información previa que se pretendió mediante la carta documento remitida por el actor, fue respondida por quien no aparecía originariamente demandado en virtud de un contrato de cesión del que solo pudo tener conocimiento el actor luego de que se respondiera la demanda.-</w:t>
      </w:r>
    </w:p>
    <w:p>
      <w:pPr>
        <w:pStyle w:val="[Normal]"/>
        <w:spacing w:line="480" w:lineRule="auto"/>
        <w:ind w:firstLine="1134"/>
        <w:jc w:val="both"/>
        <w:rPr>
          <w:lang w:val="es-AR" w:eastAsia="es-AR" w:bidi="es-AR"/>
        </w:rPr>
      </w:pPr>
      <w:r>
        <w:rPr>
          <w:lang w:val="es-AR" w:eastAsia="es-AR" w:bidi="es-AR"/>
        </w:rPr>
        <w:t xml:space="preserve">Todas ésta circunstancias sin duda alguna requieren tutela judicial, en cuanto el derecho a la protección de datos es de tipo genérico o instrumental, y protegen una amplia gama de principios y derechos (intimidad, igualdad, identidad, imagen, honor, patrimonio) requiriéndose una licitud en el tratamiento, y estableciendo el orden normativo señalado que la insuficiencia del informe proporcionado al usuario lo habilita a ejercer la acción para obtener una información clara y decodificada, para en su caso tener la posibilidad de rectificación, actualización, supresión o confidencialidad.-</w:t>
      </w:r>
    </w:p>
    <w:p>
      <w:pPr>
        <w:pStyle w:val="[Normal]"/>
        <w:spacing w:line="480" w:lineRule="auto"/>
        <w:ind w:firstLine="1134"/>
        <w:jc w:val="both"/>
        <w:rPr>
          <w:lang w:val="es-AR" w:eastAsia="es-AR" w:bidi="es-AR"/>
        </w:rPr>
      </w:pPr>
      <w:r>
        <w:rPr>
          <w:lang w:val="es-AR" w:eastAsia="es-AR" w:bidi="es-AR"/>
        </w:rPr>
        <w:t xml:space="preserve">Obsérvase que la inscripción en estos registros, puntualmente, trae graves problemas que afectan el patrimonio del sujeto activo, en el caso concreto la imposibilidad de acceder a créditos, préstamos personales, compras en negocios en cuotas y denegación de acceso a cualquier producto del sistema financiero.-</w:t>
      </w:r>
    </w:p>
    <w:p>
      <w:pPr>
        <w:pStyle w:val="[Normal]"/>
        <w:spacing w:line="480" w:lineRule="auto"/>
        <w:ind w:firstLine="1134"/>
        <w:jc w:val="both"/>
        <w:rPr>
          <w:lang w:val="es-AR" w:eastAsia="es-AR" w:bidi="es-AR"/>
        </w:rPr>
      </w:pPr>
      <w:r>
        <w:rPr>
          <w:lang w:val="es-AR" w:eastAsia="es-AR" w:bidi="es-AR"/>
        </w:rPr>
        <w:t xml:space="preserve">Por lo cual le asiste razón al accionante en su acceso al derecho de información, </w:t>
      </w:r>
      <w:r>
        <w:rPr>
          <w:b/>
          <w:lang w:val="es-AR" w:eastAsia="es-AR" w:bidi="es-AR"/>
        </w:rPr>
        <w:t xml:space="preserve">ordenándose desde aquí que la parte demandada brinde informe completo sobre la persona del actor, contenido de la información que posea sobre él, informe los eventuales cesionarios de sus datos, el motivo por el cual figura el actor como deudor de la base de datos, el importe que figura de esa deuda así como el origen de la misma, los productos y/o servicios a nombre del actor, los medios y las fuentes ha través de los cuales han obtenido sus datos y cualquier otra cuestión que tenga relación con la presente información.-</w:t>
      </w:r>
    </w:p>
    <w:p>
      <w:pPr>
        <w:pStyle w:val="[Normal]"/>
        <w:spacing w:line="48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480" w:lineRule="auto"/>
        <w:ind w:firstLine="1134"/>
        <w:jc w:val="both"/>
        <w:rPr>
          <w:lang w:val="es-AR" w:eastAsia="es-AR" w:bidi="es-AR"/>
        </w:rPr>
      </w:pPr>
      <w:r>
        <w:rPr>
          <w:b/>
          <w:lang w:val="es-AR" w:eastAsia="es-AR" w:bidi="es-AR"/>
        </w:rPr>
        <w:t xml:space="preserve">VOTO POR LA NEGATIVA</w:t>
      </w:r>
    </w:p>
    <w:p>
      <w:pPr>
        <w:pStyle w:val="[Normal]"/>
        <w:spacing w:line="480" w:lineRule="auto"/>
        <w:ind w:firstLine="1134"/>
        <w:jc w:val="both"/>
        <w:rPr>
          <w:lang w:val="es-AR" w:eastAsia="es-AR" w:bidi="es-AR"/>
        </w:rPr>
      </w:pPr>
      <w:r>
        <w:rPr>
          <w:lang w:val="es-AR" w:eastAsia="es-AR" w:bidi="es-AR"/>
        </w:rPr>
        <w:t xml:space="preserve">A la misma cuestión el señor Juez Roberto Degleue</w:t>
      </w:r>
      <w:r>
        <w:rPr>
          <w:color w:val="000000"/>
          <w:lang w:val="es-AR" w:eastAsia="es-AR" w:bidi="es-AR"/>
        </w:rPr>
        <w:t xml:space="preserve"> </w:t>
      </w:r>
      <w:r>
        <w:rPr>
          <w:lang w:val="es-AR" w:eastAsia="es-AR" w:bidi="es-AR"/>
        </w:rPr>
        <w:t xml:space="preserve">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cuestión la señora Jueza </w:t>
      </w:r>
      <w:r>
        <w:rPr>
          <w:color w:val="000000"/>
          <w:lang w:val="es-AR" w:eastAsia="es-AR" w:bidi="es-AR"/>
        </w:rPr>
        <w:t xml:space="preserve">Graciela Scaraffia </w:t>
      </w:r>
      <w:r>
        <w:rPr>
          <w:lang w:val="es-AR" w:eastAsia="es-AR" w:bidi="es-AR"/>
        </w:rPr>
        <w:t xml:space="preserve">dijo: De conformidad al resultado habido al tratarse la cuestión precedente, estimo que el pronunciamiento que corresponde dictar es: </w:t>
      </w:r>
    </w:p>
    <w:p>
      <w:pPr>
        <w:pStyle w:val="[Normal]"/>
        <w:spacing w:line="480" w:lineRule="auto"/>
        <w:ind w:firstLine="1134"/>
        <w:jc w:val="both"/>
        <w:rPr>
          <w:lang w:val="es-AR" w:eastAsia="es-AR" w:bidi="es-AR"/>
        </w:rPr>
      </w:pPr>
      <w:r>
        <w:rPr>
          <w:lang w:val="es-AR" w:eastAsia="es-AR" w:bidi="es-AR"/>
        </w:rPr>
        <w:t xml:space="preserve">Acoger el recurso de apelación deducido por la parte actora revocando el decisorio de grado.  En consecuencia, hacer lugar a la acción de hábeas data promovida, ordenándose desde aquí el libramiento de oficio a la parte demandada, con el contenido detallado en los considerandos del presente, para que la empresa conteste el mismo dentro del plazo de 10 días.-</w:t>
      </w:r>
    </w:p>
    <w:p>
      <w:pPr>
        <w:pStyle w:val="[Normal]"/>
        <w:spacing w:line="480" w:lineRule="auto"/>
        <w:ind w:firstLine="1134"/>
        <w:jc w:val="both"/>
        <w:rPr>
          <w:lang w:val="es-AR" w:eastAsia="es-AR" w:bidi="es-AR"/>
        </w:rPr>
      </w:pPr>
      <w:r>
        <w:rPr>
          <w:lang w:val="es-AR" w:eastAsia="es-AR" w:bidi="es-AR"/>
        </w:rPr>
        <w:t xml:space="preserve">Imponer las costas de primera y segunda instancia a la parte demandada (art. 68 del CPCC).-</w:t>
      </w:r>
    </w:p>
    <w:p>
      <w:pPr>
        <w:pStyle w:val="[Normal]"/>
        <w:spacing w:line="480" w:lineRule="auto"/>
        <w:ind w:firstLine="1134"/>
        <w:jc w:val="both"/>
        <w:rPr>
          <w:lang w:val="es-AR" w:eastAsia="es-AR" w:bidi="es-AR"/>
        </w:rPr>
      </w:pPr>
      <w:r>
        <w:rPr>
          <w:lang w:val="es-AR" w:eastAsia="es-AR" w:bidi="es-AR"/>
        </w:rPr>
        <w:t xml:space="preserve">Diferir la regulación de honorarios de los letrados intervinientes hasta tanto obre la de primera instancia.-</w:t>
      </w:r>
    </w:p>
    <w:p>
      <w:pPr>
        <w:pStyle w:val="[Normal]"/>
        <w:spacing w:line="480" w:lineRule="auto"/>
        <w:ind w:firstLine="1134"/>
        <w:jc w:val="both"/>
        <w:rPr>
          <w:lang w:val="es-AR" w:eastAsia="es-AR" w:bidi="es-AR"/>
        </w:rPr>
      </w:pPr>
      <w:r>
        <w:rPr>
          <w:b/>
          <w:lang w:val="es-AR" w:eastAsia="es-AR" w:bidi="es-AR"/>
        </w:rPr>
        <w:t xml:space="preserve">ASI LO VOTO</w:t>
      </w:r>
      <w:r>
        <w:rPr>
          <w:lang w:val="es-AR" w:eastAsia="es-AR" w:bidi="es-AR"/>
        </w:rPr>
        <w:t xml:space="preserve">. </w:t>
      </w:r>
    </w:p>
    <w:p>
      <w:pPr>
        <w:pStyle w:val="[Normal]"/>
        <w:spacing w:line="48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lang w:val="es-AR" w:eastAsia="es-AR" w:bidi="es-AR"/>
        </w:rPr>
      </w:pPr>
      <w:r>
        <w:rPr>
          <w:b/>
          <w:lang w:val="es-AR" w:eastAsia="es-AR" w:bidi="es-AR"/>
        </w:rPr>
        <w:t xml:space="preserve">S E N T E N C I A</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Acoger el recurso de apelación deducido por la parte actora revocando el decisorio de grado.  En consecuencia, hacer lugar a la acción de hábeas data promovida, ordenándose desde aquí el libramiento de oficio a la parte demandada, con el contenido detallado en los considerandos del presente, para que la empresa conteste el mismo dentro del plazo de 10 días.-</w:t>
      </w:r>
    </w:p>
    <w:p>
      <w:pPr>
        <w:pStyle w:val="[Normal]"/>
        <w:spacing w:line="480" w:lineRule="auto"/>
        <w:ind w:firstLine="1134"/>
        <w:jc w:val="both"/>
        <w:rPr>
          <w:lang w:val="es-AR" w:eastAsia="es-AR" w:bidi="es-AR"/>
        </w:rPr>
      </w:pPr>
      <w:r>
        <w:rPr>
          <w:lang w:val="es-AR" w:eastAsia="es-AR" w:bidi="es-AR"/>
        </w:rPr>
        <w:t xml:space="preserve">Imponer las costas de primera y segunda instancia a la parte demandada (art. 68 del CPCC).-</w:t>
      </w:r>
    </w:p>
    <w:p>
      <w:pPr>
        <w:pStyle w:val="[Normal]"/>
        <w:spacing w:line="480" w:lineRule="auto"/>
        <w:ind w:firstLine="1134"/>
        <w:jc w:val="both"/>
        <w:rPr>
          <w:lang w:val="es-AR" w:eastAsia="es-AR" w:bidi="es-AR"/>
        </w:rPr>
      </w:pPr>
      <w:r>
        <w:rPr>
          <w:lang w:val="es-AR" w:eastAsia="es-AR" w:bidi="es-AR"/>
        </w:rPr>
        <w:t xml:space="preserve">Diferir la regulación de honorarios de los letrados intervinientes hasta tanto obre la de primera instancia.-</w:t>
      </w:r>
    </w:p>
    <w:p>
      <w:pPr>
        <w:pStyle w:val="[Normal]"/>
        <w:spacing w:line="480" w:lineRule="auto"/>
        <w:ind w:firstLine="1134"/>
        <w:jc w:val="both"/>
        <w:rPr>
          <w:color w:val="000000"/>
          <w:lang w:val="es-AR" w:eastAsia="es-AR" w:bidi="es-AR"/>
        </w:rPr>
      </w:pPr>
      <w:r>
        <w:rPr>
          <w:lang w:val="es-AR" w:eastAsia="es-AR" w:bidi="es-AR"/>
        </w:rPr>
        <w:t xml:space="preserve">Regístrese. Notifíquese. Devuélvase.-</w:t>
      </w:r>
    </w:p>
    <w:p>
      <w:pPr>
        <w:pStyle w:val="[Normal]"/>
        <w:spacing w:line="480" w:lineRule="auto"/>
        <w:ind w:firstLine="1134"/>
        <w:jc w:val="center"/>
        <w:rPr>
          <w:color w:val="000000"/>
          <w:sz w:val="18"/>
          <w:lang w:val="es-AR" w:eastAsia="es-AR" w:bidi="es-AR"/>
        </w:rPr>
      </w:pPr>
    </w:p>
    <w:p>
      <w:pPr>
        <w:pStyle w:val="[Normal]"/>
        <w:ind w:firstLine="1134"/>
        <w:jc w:val="center"/>
        <w:rPr>
          <w:color w:val="000000"/>
          <w:sz w:val="18"/>
          <w:lang w:val="es-AR" w:eastAsia="es-AR" w:bidi="es-AR"/>
        </w:rPr>
      </w:pPr>
      <w:r>
        <w:rPr>
          <w:color w:val="000000"/>
          <w:sz w:val="18"/>
          <w:lang w:val="es-AR" w:eastAsia="es-AR" w:bidi="es-AR"/>
        </w:rPr>
        <w:t xml:space="preserve">Graciela SCARAFFIA</w:t>
      </w:r>
    </w:p>
    <w:p>
      <w:pPr>
        <w:pStyle w:val="[Normal]"/>
        <w:ind w:firstLine="1134"/>
        <w:jc w:val="center"/>
        <w:rPr>
          <w:color w:val="000000"/>
          <w:sz w:val="18"/>
          <w:lang w:val="es-AR" w:eastAsia="es-AR" w:bidi="es-AR"/>
        </w:rPr>
      </w:pPr>
      <w:r>
        <w:rPr>
          <w:color w:val="000000"/>
          <w:sz w:val="18"/>
          <w:lang w:val="es-AR" w:eastAsia="es-AR" w:bidi="es-AR"/>
        </w:rPr>
        <w:t xml:space="preserve">Presidente Excma. Cámara de</w:t>
      </w:r>
    </w:p>
    <w:p>
      <w:pPr>
        <w:pStyle w:val="[Normal]"/>
        <w:ind w:firstLine="1134"/>
        <w:jc w:val="center"/>
        <w:rPr>
          <w:color w:val="000000"/>
          <w:sz w:val="18"/>
          <w:lang w:val="es-AR" w:eastAsia="es-AR" w:bidi="es-AR"/>
        </w:rPr>
      </w:pPr>
      <w:r>
        <w:rPr>
          <w:color w:val="000000"/>
          <w:sz w:val="18"/>
          <w:lang w:val="es-AR" w:eastAsia="es-AR" w:bidi="es-AR"/>
        </w:rPr>
        <w:t xml:space="preserve">Apelación en lo Civil y Comercial </w:t>
      </w:r>
    </w:p>
    <w:p>
      <w:pPr>
        <w:pStyle w:val="[Normal]"/>
        <w:ind w:firstLine="1134"/>
        <w:jc w:val="center"/>
        <w:rPr>
          <w:color w:val="000000"/>
          <w:sz w:val="18"/>
          <w:lang w:val="es-AR" w:eastAsia="es-AR" w:bidi="es-AR"/>
        </w:rPr>
      </w:pPr>
      <w:r>
        <w:rPr>
          <w:color w:val="000000"/>
          <w:sz w:val="18"/>
          <w:lang w:val="es-AR" w:eastAsia="es-AR" w:bidi="es-AR"/>
        </w:rPr>
        <w:t xml:space="preserve">Dpto. Judicial Pergamino</w:t>
      </w:r>
    </w:p>
    <w:p>
      <w:pPr>
        <w:pStyle w:val="[Normal]"/>
        <w:ind w:firstLine="1134"/>
        <w:jc w:val="center"/>
        <w:rPr>
          <w:color w:val="000000"/>
          <w:sz w:val="18"/>
          <w:lang w:val="es-AR" w:eastAsia="es-AR" w:bidi="es-AR"/>
        </w:rPr>
      </w:pPr>
    </w:p>
    <w:p>
      <w:pPr>
        <w:pStyle w:val="[Normal]"/>
        <w:ind w:firstLine="1134"/>
        <w:jc w:val="center"/>
        <w:rPr>
          <w:color w:val="000000"/>
          <w:sz w:val="18"/>
          <w:lang w:val="es-AR" w:eastAsia="es-AR" w:bidi="es-AR"/>
        </w:rPr>
      </w:pPr>
    </w:p>
    <w:p>
      <w:pPr>
        <w:pStyle w:val="[Normal]"/>
        <w:ind w:firstLine="1134"/>
        <w:rPr>
          <w:color w:val="000000"/>
          <w:sz w:val="18"/>
          <w:lang w:val="es-AR" w:eastAsia="es-AR" w:bidi="es-AR"/>
        </w:rPr>
      </w:pPr>
      <w:r>
        <w:rPr>
          <w:color w:val="000000"/>
          <w:sz w:val="18"/>
          <w:lang w:val="es-AR" w:eastAsia="es-AR" w:bidi="es-AR"/>
        </w:rPr>
        <w:t xml:space="preserve">Roberto Manuel DEGLEUE</w:t>
      </w:r>
    </w:p>
    <w:p>
      <w:pPr>
        <w:pStyle w:val="[Normal]"/>
        <w:ind w:firstLine="1134"/>
        <w:rPr>
          <w:color w:val="000000"/>
          <w:sz w:val="18"/>
          <w:lang w:val="es-AR" w:eastAsia="es-AR" w:bidi="es-AR"/>
        </w:rPr>
      </w:pPr>
      <w:r>
        <w:rPr>
          <w:color w:val="000000"/>
          <w:sz w:val="18"/>
          <w:lang w:val="es-AR" w:eastAsia="es-AR" w:bidi="es-AR"/>
        </w:rPr>
        <w:t xml:space="preserve">           Juez</w:t>
      </w:r>
    </w:p>
    <w:p>
      <w:pPr>
        <w:pStyle w:val="[Normal]"/>
        <w:ind w:firstLine="1134"/>
        <w:jc w:val="center"/>
        <w:rPr>
          <w:color w:val="000000"/>
          <w:sz w:val="18"/>
          <w:lang w:val="es-AR" w:eastAsia="es-AR" w:bidi="es-AR"/>
        </w:rPr>
      </w:pPr>
    </w:p>
    <w:p>
      <w:pPr>
        <w:pStyle w:val="[Normal]"/>
        <w:ind w:firstLine="1134"/>
        <w:jc w:val="center"/>
        <w:rPr>
          <w:color w:val="000000"/>
          <w:sz w:val="18"/>
          <w:lang w:val="es-AR" w:eastAsia="es-AR" w:bidi="es-AR"/>
        </w:rPr>
      </w:pPr>
    </w:p>
    <w:p>
      <w:pPr>
        <w:pStyle w:val="[Normal]"/>
        <w:ind w:firstLine="1134"/>
        <w:jc w:val="center"/>
        <w:rPr>
          <w:color w:val="000000"/>
          <w:sz w:val="18"/>
          <w:lang w:val="es-AR" w:eastAsia="es-AR" w:bidi="es-AR"/>
        </w:rPr>
      </w:pPr>
    </w:p>
    <w:p>
      <w:pPr>
        <w:pStyle w:val="[Normal]"/>
        <w:ind w:firstLine="1134"/>
        <w:jc w:val="center"/>
        <w:rPr>
          <w:color w:val="000000"/>
          <w:sz w:val="18"/>
          <w:lang w:val="es-AR" w:eastAsia="es-AR" w:bidi="es-AR"/>
        </w:rPr>
      </w:pPr>
    </w:p>
    <w:p>
      <w:pPr>
        <w:pStyle w:val="[Normal]"/>
        <w:ind w:firstLine="1134"/>
        <w:jc w:val="center"/>
        <w:rPr>
          <w:color w:val="000000"/>
          <w:sz w:val="18"/>
          <w:lang w:val="es-AR" w:eastAsia="es-AR" w:bidi="es-AR"/>
        </w:rPr>
      </w:pPr>
      <w:r>
        <w:rPr>
          <w:color w:val="000000"/>
          <w:sz w:val="18"/>
          <w:lang w:val="es-AR" w:eastAsia="es-AR" w:bidi="es-AR"/>
        </w:rPr>
        <w:t xml:space="preserve">Nicolás MARTINEZ</w:t>
      </w:r>
    </w:p>
    <w:p>
      <w:pPr>
        <w:pStyle w:val="[Normal]"/>
        <w:ind w:firstLine="1134"/>
        <w:jc w:val="center"/>
        <w:rPr>
          <w:color w:val="000000"/>
          <w:sz w:val="18"/>
          <w:lang w:val="es-AR" w:eastAsia="es-AR" w:bidi="es-AR"/>
        </w:rPr>
      </w:pPr>
      <w:r>
        <w:rPr>
          <w:color w:val="000000"/>
          <w:sz w:val="18"/>
          <w:lang w:val="es-AR" w:eastAsia="es-AR" w:bidi="es-AR"/>
        </w:rPr>
        <w:t xml:space="preserve">Auxiliar Letrado</w:t>
      </w:r>
    </w:p>
    <w:p>
      <w:pPr>
        <w:pStyle w:val="[Normal]"/>
        <w:rPr>
          <w:color w:val="000000"/>
          <w:sz w:val="18"/>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