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168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788/794         </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En la ciudad de Pergamino, el 13 de noviembre de 2018, reunidos en Acuerdo Ordinario los Sres. Jueces de la Excma. Cámara de Apelación en lo Civil y Comercial del Departamento Judicial Pergamino, para dictar sentencia en la causa N°</w:t>
      </w:r>
      <w:r>
        <w:rPr>
          <w:b/>
          <w:color w:val="000000"/>
          <w:lang w:val="es-AR" w:eastAsia="es-AR" w:bidi="es-AR"/>
        </w:rPr>
        <w:t xml:space="preserve"> 3277-18 </w:t>
      </w:r>
      <w:r>
        <w:rPr>
          <w:color w:val="000000"/>
          <w:lang w:val="es-AR" w:eastAsia="es-AR" w:bidi="es-AR"/>
        </w:rPr>
        <w:t xml:space="preserve">caratulada "</w:t>
      </w:r>
      <w:r>
        <w:rPr>
          <w:b/>
          <w:color w:val="000000"/>
          <w:lang w:val="es-AR" w:eastAsia="es-AR" w:bidi="es-AR"/>
        </w:rPr>
        <w:t xml:space="preserve">DODDI EDUARDO OSCAR  C/ BANCO DE LA PROVINCIA DE BUENOS AIRES S/ EJECUCION HONORARIOS</w:t>
      </w:r>
      <w:r>
        <w:rPr>
          <w:color w:val="000000"/>
          <w:lang w:val="es-AR" w:eastAsia="es-AR" w:bidi="es-AR"/>
        </w:rPr>
        <w:t xml:space="preserve">", Expte. 82.047 del Juzgado en lo Civil y Comercial N° 2, se practicó el sorteo de ley que determinó que la votación debía efectuarse en el siguiente orden: Dres. Graciela Scaraffia y Roberto Degleue y estudiados los autos se resolvió plantear y votar las siguientes: </w:t>
      </w:r>
    </w:p>
    <w:p>
      <w:pPr>
        <w:pStyle w:val="[Normal]"/>
        <w:spacing w:line="48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I) ¿Se ajusta a derecho la sentencia apelada?</w:t>
      </w:r>
    </w:p>
    <w:p>
      <w:pPr>
        <w:pStyle w:val="[Normal]"/>
        <w:spacing w:line="480" w:lineRule="auto"/>
        <w:ind w:firstLine="1134"/>
        <w:jc w:val="both"/>
        <w:rPr>
          <w:color w:val="000000"/>
          <w:lang w:val="es-AR" w:eastAsia="es-AR" w:bidi="es-AR"/>
        </w:rPr>
      </w:pPr>
      <w:r>
        <w:rPr>
          <w:color w:val="000000"/>
          <w:lang w:val="es-AR" w:eastAsia="es-AR" w:bidi="es-AR"/>
        </w:rPr>
        <w:t xml:space="preserve">II)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la señora Jueza </w:t>
      </w:r>
      <w:r>
        <w:rPr>
          <w:b/>
          <w:color w:val="000000"/>
          <w:lang w:val="es-AR" w:eastAsia="es-AR" w:bidi="es-AR"/>
        </w:rPr>
        <w:t xml:space="preserve">Graciela Scaraffia </w:t>
      </w:r>
      <w:r>
        <w:rPr>
          <w:color w:val="000000"/>
          <w:lang w:val="es-AR" w:eastAsia="es-AR" w:bidi="es-AR"/>
        </w:rPr>
        <w:t xml:space="preserve">dijo:</w:t>
      </w:r>
    </w:p>
    <w:p>
      <w:pPr>
        <w:pStyle w:val="[Normal]"/>
        <w:spacing w:line="480" w:lineRule="auto"/>
        <w:ind w:firstLine="1134"/>
        <w:jc w:val="both"/>
        <w:rPr>
          <w:color w:val="000000"/>
          <w:lang w:val="es-AR" w:eastAsia="es-AR" w:bidi="es-AR"/>
        </w:rPr>
      </w:pPr>
      <w:r>
        <w:rPr>
          <w:color w:val="000000"/>
          <w:lang w:val="es-AR" w:eastAsia="es-AR" w:bidi="es-AR"/>
        </w:rPr>
        <w:t xml:space="preserve">El señor Juez de la anterior instancia rechazó las defensas opuestas por el banco ejecutado y en consecuencia mandó llevar adelante la ejecución hasta tanto el acreedor haga íntegro pago del capital reclamado en autos de $ 2.387.-, con más los intereses legales (art. 54 inc. b Ley 8904), desde la fecha de la mora (23/02/2018) fecha del mandamiento de fs. 28, con más los aportes de Ley.</w:t>
      </w:r>
    </w:p>
    <w:p>
      <w:pPr>
        <w:pStyle w:val="[Normal]"/>
        <w:spacing w:line="480" w:lineRule="auto"/>
        <w:ind w:firstLine="1134"/>
        <w:jc w:val="both"/>
        <w:rPr>
          <w:color w:val="000000"/>
          <w:lang w:val="es-AR" w:eastAsia="es-AR" w:bidi="es-AR"/>
        </w:rPr>
      </w:pPr>
      <w:r>
        <w:rPr>
          <w:color w:val="000000"/>
          <w:lang w:val="es-AR" w:eastAsia="es-AR" w:bidi="es-AR"/>
        </w:rPr>
        <w:t xml:space="preserve">Disconformes con lo decidido, la parte actora y la demandada dedujeron recurso de apelación, que fueron concedidos en relación (fs. 59/60, 68/71 y fs. 79). </w:t>
      </w:r>
    </w:p>
    <w:p>
      <w:pPr>
        <w:pStyle w:val="[Normal]"/>
        <w:spacing w:line="480" w:lineRule="auto"/>
        <w:ind w:firstLine="1134"/>
        <w:jc w:val="both"/>
        <w:rPr>
          <w:color w:val="000000"/>
          <w:lang w:val="es-AR" w:eastAsia="es-AR" w:bidi="es-AR"/>
        </w:rPr>
      </w:pPr>
      <w:r>
        <w:rPr>
          <w:color w:val="000000"/>
          <w:lang w:val="es-AR" w:eastAsia="es-AR" w:bidi="es-AR"/>
        </w:rPr>
        <w:t xml:space="preserve">El actor fundó su recurso a fs. 61/64, y a fs. 77/8 la contraria respondió el traslado que le fuera conferido.  </w:t>
      </w:r>
    </w:p>
    <w:p>
      <w:pPr>
        <w:pStyle w:val="[Normal]"/>
        <w:spacing w:line="480" w:lineRule="auto"/>
        <w:ind w:firstLine="1134"/>
        <w:jc w:val="both"/>
        <w:rPr>
          <w:color w:val="000000"/>
          <w:lang w:val="es-AR" w:eastAsia="es-AR" w:bidi="es-AR"/>
        </w:rPr>
      </w:pPr>
      <w:r>
        <w:rPr>
          <w:color w:val="000000"/>
          <w:lang w:val="es-AR" w:eastAsia="es-AR" w:bidi="es-AR"/>
        </w:rPr>
        <w:t xml:space="preserve">La demandada fundó su recurso en el acto de su interposición (fs.68/71), obrando el responde del actor a fs. 80/82.</w:t>
      </w:r>
    </w:p>
    <w:p>
      <w:pPr>
        <w:pStyle w:val="[Normal]"/>
        <w:spacing w:line="480" w:lineRule="auto"/>
        <w:ind w:firstLine="1134"/>
        <w:jc w:val="both"/>
        <w:rPr>
          <w:color w:val="000000"/>
          <w:lang w:val="es-AR" w:eastAsia="es-AR" w:bidi="es-AR"/>
        </w:rPr>
      </w:pPr>
      <w:r>
        <w:rPr>
          <w:color w:val="000000"/>
          <w:lang w:val="es-AR" w:eastAsia="es-AR" w:bidi="es-AR"/>
        </w:rPr>
        <w:t xml:space="preserve">A fs. 90 se dictó el llamamiento de autos, providencia que firme a la fecha deja la causa en condiciones de ser fallada.</w:t>
      </w:r>
    </w:p>
    <w:p>
      <w:pPr>
        <w:pStyle w:val="[Normal]"/>
        <w:spacing w:line="480" w:lineRule="auto"/>
        <w:ind w:firstLine="1134"/>
        <w:jc w:val="both"/>
        <w:rPr>
          <w:color w:val="000000"/>
          <w:lang w:val="es-AR" w:eastAsia="es-AR" w:bidi="es-AR"/>
        </w:rPr>
      </w:pPr>
      <w:r>
        <w:rPr>
          <w:b/>
          <w:color w:val="000000"/>
          <w:lang w:val="es-AR" w:eastAsia="es-AR" w:bidi="es-AR"/>
        </w:rPr>
        <w:t xml:space="preserve">1) Recurso del Banco Provincia de Buenos Aires</w:t>
      </w:r>
    </w:p>
    <w:p>
      <w:pPr>
        <w:pStyle w:val="[Normal]"/>
        <w:spacing w:line="480" w:lineRule="auto"/>
        <w:ind w:firstLine="1134"/>
        <w:jc w:val="both"/>
        <w:rPr>
          <w:color w:val="000000"/>
          <w:lang w:val="es-AR" w:eastAsia="es-AR" w:bidi="es-AR"/>
        </w:rPr>
      </w:pPr>
      <w:r>
        <w:rPr>
          <w:color w:val="000000"/>
          <w:lang w:val="es-AR" w:eastAsia="es-AR" w:bidi="es-AR"/>
        </w:rPr>
        <w:t xml:space="preserve">Como primer punto de sus agravios, el apelante se duele pues se declaró inaplicable la solidaridad prevista por el art. 58 de la ley 8904 que el mismo invocara.  Fundó el sentenciante lo decidido en que la  accionada no ha aportado el contrato previsto en el art. 18 de la ley Arancelara - redactado por escrito y registrado en el Colegio de Abogados-, ni acompañó recibos de pago de la relación laboral de esa época.</w:t>
      </w:r>
    </w:p>
    <w:p>
      <w:pPr>
        <w:pStyle w:val="[Normal]"/>
        <w:spacing w:line="480" w:lineRule="auto"/>
        <w:ind w:firstLine="1134"/>
        <w:jc w:val="both"/>
        <w:rPr>
          <w:color w:val="000000"/>
          <w:lang w:val="es-AR" w:eastAsia="es-AR" w:bidi="es-AR"/>
        </w:rPr>
      </w:pPr>
      <w:r>
        <w:rPr>
          <w:color w:val="000000"/>
          <w:lang w:val="es-AR" w:eastAsia="es-AR" w:bidi="es-AR"/>
        </w:rPr>
        <w:t xml:space="preserve">El Banco manifiesta que es público y notorio que el letrado se desempeñó como apoderado de la entidad durante muchos años.  Y que la relación de derecho público existente mediante contrato de empleo público y el pago de sueldos y aportes jubilatorios así lo acreditan.  Afirma que además el Dr. Doddi percibió honorarios profesionales.  Aduce que en supuestos como el de autos, si el letrado trabaja en relación de dependencia, no puede pretender que éste se haga cargo en forma subsidiaria de su honorario cuando el condenado en costas no la abona.</w:t>
      </w:r>
    </w:p>
    <w:p>
      <w:pPr>
        <w:pStyle w:val="[Normal]"/>
        <w:spacing w:line="480" w:lineRule="auto"/>
        <w:ind w:firstLine="1134"/>
        <w:jc w:val="both"/>
        <w:rPr>
          <w:color w:val="000000"/>
          <w:lang w:val="es-AR" w:eastAsia="es-AR" w:bidi="es-AR"/>
        </w:rPr>
      </w:pPr>
      <w:r>
        <w:rPr>
          <w:color w:val="000000"/>
          <w:lang w:val="es-AR" w:eastAsia="es-AR" w:bidi="es-AR"/>
        </w:rPr>
        <w:t xml:space="preserve">En otra porción de su memorial destaca  que el art. 18 del Arancel prescribe que sin perjuicio de la acción directa de los profesionales de una parte contra otra vencida en costas, no son ejecutables los honorarios regulados contra el litigante patrocinado o representado cuando los servicios profesionales de sus abogados o procuradores hubieran sido contratados en forma permanente mediante una retribución periódica.</w:t>
      </w:r>
    </w:p>
    <w:p>
      <w:pPr>
        <w:pStyle w:val="[Normal]"/>
        <w:spacing w:line="480" w:lineRule="auto"/>
        <w:ind w:firstLine="1134"/>
        <w:jc w:val="both"/>
        <w:rPr>
          <w:color w:val="000000"/>
          <w:lang w:val="es-AR" w:eastAsia="es-AR" w:bidi="es-AR"/>
        </w:rPr>
      </w:pPr>
      <w:r>
        <w:rPr>
          <w:color w:val="000000"/>
          <w:lang w:val="es-AR" w:eastAsia="es-AR" w:bidi="es-AR"/>
        </w:rPr>
        <w:t xml:space="preserve">El segundo punto de sus agravios es que no se hizo lugar a su pretensión relativa a la necesidad de un previo intento de ejecución contra el condenado en costas, o que se acredite la falta de pago del mismo para enderezar la ejecución contra el cliente beneficiario de los trabajos.  Para así decidir, el magistrado consideró que  en el concepto de solidaridad del art. 58 de la ley 8904, se ha abrazado bajo el mismo rótulo a dos obligaciones, la del condenado en costas y la del litigante ganancioso, y que la mismas no son solidarias sino concurrentes, pudiendo el letrado dirigir su reclamo indistintamente contra el condenado en costas y contra su cliente aún cuando no fuere condenado en costas, citando doctrina legal de la SCBA sobre el punto (SCBA LP L89569 S 15/6/2011).</w:t>
      </w:r>
    </w:p>
    <w:p>
      <w:pPr>
        <w:pStyle w:val="[Normal]"/>
        <w:spacing w:line="480" w:lineRule="auto"/>
        <w:ind w:firstLine="1134"/>
        <w:jc w:val="both"/>
        <w:rPr>
          <w:color w:val="000000"/>
          <w:lang w:val="es-AR" w:eastAsia="es-AR" w:bidi="es-AR"/>
        </w:rPr>
      </w:pPr>
      <w:r>
        <w:rPr>
          <w:color w:val="000000"/>
          <w:lang w:val="es-AR" w:eastAsia="es-AR" w:bidi="es-AR"/>
        </w:rPr>
        <w:t xml:space="preserve">Sostiene el quejoso que ello no es así, y que el actor carece de  legitimación para demandar a su representada no condenada en costas por el cobro de los honorarios objeto de autos, en tanto no ha acreditado los extremos aludidos -que ha transcurrido el plazo fijado al deudor principal -el condenado en costas, sin que el mismo hubiere cancelado la deuda y previo intento de ejecución contra el mismo-.  A fin de fundar su queja cita jurisprudencia vigente en el ámbito de la Ciudad Autónoma de Buenos Aires.</w:t>
      </w:r>
    </w:p>
    <w:p>
      <w:pPr>
        <w:pStyle w:val="[Normal]"/>
        <w:spacing w:line="480" w:lineRule="auto"/>
        <w:ind w:firstLine="1134"/>
        <w:jc w:val="both"/>
        <w:rPr>
          <w:color w:val="000000"/>
          <w:lang w:val="es-AR" w:eastAsia="es-AR" w:bidi="es-AR"/>
        </w:rPr>
      </w:pPr>
      <w:r>
        <w:rPr>
          <w:color w:val="000000"/>
          <w:lang w:val="es-AR" w:eastAsia="es-AR" w:bidi="es-AR"/>
        </w:rPr>
        <w:t xml:space="preserve">Liminarmente, cuadra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color w:val="000000"/>
          <w:lang w:val="es-AR" w:eastAsia="es-AR" w:bidi="es-AR"/>
        </w:rPr>
      </w:pPr>
      <w:r>
        <w:rPr>
          <w:color w:val="000000"/>
          <w:lang w:val="es-AR" w:eastAsia="es-AR" w:bidi="es-AR"/>
        </w:rPr>
        <w:t xml:space="preserve">Al respecto ha señalado la SCBA que "..</w:t>
      </w:r>
      <w:r>
        <w:rPr>
          <w:i/>
          <w:color w:val="000000"/>
          <w:lang w:val="es-AR" w:eastAsia="es-AR" w:bidi="es-AR"/>
        </w:rPr>
        <w:t xml:space="preserve">. el desarrollo de los agravios a la luz del art. 260 del Código Procesal Civil y Comercial supone, como carga procesal, una exposición jurídica en la que mediante el análisis razonado y crítico del fallo impugnado se evidencie su injusticia. Requiere</w:t>
      </w:r>
      <w:r>
        <w:rPr>
          <w:color w:val="000000"/>
          <w:lang w:val="es-AR" w:eastAsia="es-AR" w:bidi="es-AR"/>
        </w:rPr>
        <w:t xml:space="preserve"> </w:t>
      </w:r>
      <w:r>
        <w:rPr>
          <w:i/>
          <w:color w:val="000000"/>
          <w:lang w:val="es-AR" w:eastAsia="es-AR" w:bidi="es-AR"/>
        </w:rPr>
        <w:t xml:space="preserve">así una articulación seria, fundada, concreta y objetiva de los errores de la sentencia, punto por punto, y una demostración de los motivos para considerar que ella es errónea, injusta o contraria a derecho" </w:t>
      </w:r>
      <w:r>
        <w:rPr>
          <w:color w:val="000000"/>
          <w:lang w:val="es-AR" w:eastAsia="es-AR" w:bidi="es-AR"/>
        </w:rPr>
        <w:t xml:space="preserve">(conf. Ac. 49.561, sent. del 31-V-1994 en "Acuerdos y Sentencias", 1994-II-383; Ac. 53.320, sent. del 19-XII-1995 en "Acuerdos y Sentencias", 1995-IV-674; conf. doct. C. 91.877, sent. del 13-XII-2006)"...(causa C 1128-13 S 16/07/2014).</w:t>
      </w:r>
    </w:p>
    <w:p>
      <w:pPr>
        <w:pStyle w:val="[Normal]"/>
        <w:spacing w:line="480" w:lineRule="auto"/>
        <w:ind w:firstLine="1134"/>
        <w:jc w:val="both"/>
        <w:rPr>
          <w:color w:val="000000"/>
          <w:lang w:val="es-AR" w:eastAsia="es-AR" w:bidi="es-AR"/>
        </w:rPr>
      </w:pPr>
      <w:r>
        <w:rPr>
          <w:color w:val="000000"/>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color w:val="000000"/>
          <w:lang w:val="es-AR" w:eastAsia="es-AR" w:bidi="es-AR"/>
        </w:rPr>
      </w:pPr>
      <w:r>
        <w:rPr>
          <w:color w:val="000000"/>
          <w:lang w:val="es-AR" w:eastAsia="es-AR" w:bidi="es-AR"/>
        </w:rPr>
        <w:t xml:space="preserve">En la especie, la apoderada de la entidad recurrente se ha limitado a reiterar en esta sede las cuestiones que propuso a conocimiento del juez de primera instancia -relativos a la procedencia de la ejecución de honorarios de letrados en relación de dependencia, domicilio del ejecutado, a la prohibición de ejecutar honorarios a su cliente cuando existe relación de subordinación que dispone el art. 18 del Arancelaria y al alcance de la solidaridad prevista en el art. 58 ley 8904-.  Empero ha guardado silencio sobre los motivos brindados por el magistrado para rechazarlas.</w:t>
      </w:r>
    </w:p>
    <w:p>
      <w:pPr>
        <w:pStyle w:val="[Normal]"/>
        <w:spacing w:line="480" w:lineRule="auto"/>
        <w:ind w:firstLine="1134"/>
        <w:jc w:val="both"/>
        <w:rPr>
          <w:color w:val="000000"/>
          <w:lang w:val="es-AR" w:eastAsia="es-AR" w:bidi="es-AR"/>
        </w:rPr>
      </w:pPr>
      <w:r>
        <w:rPr>
          <w:color w:val="000000"/>
          <w:lang w:val="es-AR" w:eastAsia="es-AR" w:bidi="es-AR"/>
        </w:rPr>
        <w:t xml:space="preserve">Así cuando la carencia de prueba es el fundamento sobre el que reposa el fallo impugnado, la apelante nada ha expresado en relación al material probatorio obrante en la causa limitándose a alegar el carácter de público y notorio de la relación entre el letrado y el banco.  Empero no explica por qué ello es así a su entender, cuando no obra en el proceso  documentación alguna de la que surja la existencia de una relación de subordinación en la época en que se realizaron los trabajos que han sido remunerados mediante los honorarios que aquí se ejecutan.  Y sólo emerge de las constancias obrantes en autos que el profesional ejecutante intervino en la causa principal como abogado inscripto en el Colegio de Abogados departamental actuando en calidad de apoderado del Banco de la Provincia de Buenos Aires ( ley 5177, art. 2° CCyC, art. 375, 384 y ccs. CPCC).</w:t>
      </w:r>
    </w:p>
    <w:p>
      <w:pPr>
        <w:pStyle w:val="[Normal]"/>
        <w:spacing w:line="480" w:lineRule="auto"/>
        <w:ind w:firstLine="1134"/>
        <w:jc w:val="both"/>
        <w:rPr>
          <w:color w:val="000000"/>
          <w:lang w:val="es-AR" w:eastAsia="es-AR" w:bidi="es-AR"/>
        </w:rPr>
      </w:pPr>
      <w:r>
        <w:rPr>
          <w:color w:val="000000"/>
          <w:lang w:val="es-AR" w:eastAsia="es-AR" w:bidi="es-AR"/>
        </w:rPr>
        <w:t xml:space="preserve">Por otra parte, a fin de argumentar en relación a la solidaridad prevista por el art. 58 de la ley 8904, el recurrente ha citado jurisprudencia vigente en la C.A.B.A, que se funda en legislación distinta vigente territorialmente sólo en el ámbito de dicha ciudad, y ha guardado silencio acerca de la doctrina legal de la SCBA que ha citado el juzgador primero como fundamento de su fallo.</w:t>
      </w:r>
    </w:p>
    <w:p>
      <w:pPr>
        <w:pStyle w:val="[Normal]"/>
        <w:spacing w:line="480" w:lineRule="auto"/>
        <w:ind w:firstLine="1134"/>
        <w:jc w:val="both"/>
        <w:rPr>
          <w:color w:val="000000"/>
          <w:lang w:val="es-AR" w:eastAsia="es-AR" w:bidi="es-AR"/>
        </w:rPr>
      </w:pPr>
      <w:r>
        <w:rPr>
          <w:color w:val="000000"/>
          <w:lang w:val="es-AR" w:eastAsia="es-AR" w:bidi="es-AR"/>
        </w:rPr>
        <w:t xml:space="preserve">Estimo que entonces respecto de tales cuestiones la pieza recursiva agregada a fs. 68/71 no abastece la carga procesal de alcanzar cierto nivel crítico que permita su tratamiento, mostrándose inidónea ya que no ataca en forma concreta y frontal los verdaderos fundamentos del fallo apelado.</w:t>
      </w:r>
    </w:p>
    <w:p>
      <w:pPr>
        <w:pStyle w:val="[Normal]"/>
        <w:spacing w:line="480" w:lineRule="auto"/>
        <w:ind w:firstLine="1134"/>
        <w:jc w:val="both"/>
        <w:rPr>
          <w:color w:val="000000"/>
          <w:lang w:val="es-AR" w:eastAsia="es-AR" w:bidi="es-AR"/>
        </w:rPr>
      </w:pPr>
      <w:r>
        <w:rPr>
          <w:color w:val="000000"/>
          <w:lang w:val="es-AR" w:eastAsia="es-AR" w:bidi="es-AR"/>
        </w:rPr>
        <w:t xml:space="preserve">No obstante he de destacar que los fallos sobre solidaridad citados por la ejecutada resultan inaplicables al presente caso  en tanto son del orden nacional, donde existe una normativa que difiere de la provincial, la cual establece una garantía subsidiaria, y por tanto recién en el supuesto de que el pago reclamado a la condenada en costas no se efectuare, se podrá reclamar el pago al cliente.  En cambio en el ámbito provincial, no resulta necesario que el abogado justifique la insolvencia del deudor principal, pudiendo inclusive desistir del proceso contra él (art. 58 L.H.P.). Así lo ha entendido el Superior Tribunal Provincial en el precedente citado por el apelado.</w:t>
      </w:r>
    </w:p>
    <w:p>
      <w:pPr>
        <w:pStyle w:val="[Normal]"/>
        <w:spacing w:line="480" w:lineRule="auto"/>
        <w:ind w:firstLine="1134"/>
        <w:jc w:val="both"/>
        <w:rPr>
          <w:color w:val="000000"/>
          <w:lang w:val="es-AR" w:eastAsia="es-AR" w:bidi="es-AR"/>
        </w:rPr>
      </w:pPr>
      <w:r>
        <w:rPr>
          <w:b/>
          <w:color w:val="000000"/>
          <w:lang w:val="es-AR" w:eastAsia="es-AR" w:bidi="es-AR"/>
        </w:rPr>
        <w:t xml:space="preserve">II) Recurso del actor Dr. Eduardo Oscar Doddi</w:t>
      </w:r>
    </w:p>
    <w:p>
      <w:pPr>
        <w:pStyle w:val="[Normal]"/>
        <w:spacing w:line="480" w:lineRule="auto"/>
        <w:ind w:firstLine="1134"/>
        <w:jc w:val="both"/>
        <w:rPr>
          <w:color w:val="000000"/>
          <w:lang w:val="es-AR" w:eastAsia="es-AR" w:bidi="es-AR"/>
        </w:rPr>
      </w:pPr>
      <w:r>
        <w:rPr>
          <w:color w:val="000000"/>
          <w:lang w:val="es-AR" w:eastAsia="es-AR" w:bidi="es-AR"/>
        </w:rPr>
        <w:t xml:space="preserve">El juzgador ordenó aplicar los intereses legales (art. 54 inc. b ley 8904) y estableció que como fecha de la mora a los fines de su cómputo, la del diligenciamiento del mandamiento de intimación de pago y embargo librado en autos (22/2/10|8).</w:t>
      </w:r>
    </w:p>
    <w:p>
      <w:pPr>
        <w:pStyle w:val="[Normal]"/>
        <w:spacing w:line="480" w:lineRule="auto"/>
        <w:ind w:firstLine="1134"/>
        <w:jc w:val="both"/>
        <w:rPr>
          <w:color w:val="000000"/>
          <w:lang w:val="es-AR" w:eastAsia="es-AR" w:bidi="es-AR"/>
        </w:rPr>
      </w:pPr>
      <w:r>
        <w:rPr>
          <w:color w:val="000000"/>
          <w:lang w:val="es-AR" w:eastAsia="es-AR" w:bidi="es-AR"/>
        </w:rPr>
        <w:t xml:space="preserve">El apelante pide se establezca la tasa de interés activa y se establezca como fecha de mora la de vencimiento del plazo de diez días posteriores a la notificación por cédula al Banco de la regulación de honorarios practicada.</w:t>
      </w:r>
    </w:p>
    <w:p>
      <w:pPr>
        <w:pStyle w:val="[Normal]"/>
        <w:spacing w:line="480" w:lineRule="auto"/>
        <w:ind w:firstLine="1134"/>
        <w:jc w:val="both"/>
        <w:rPr>
          <w:color w:val="000000"/>
          <w:lang w:val="es-AR" w:eastAsia="es-AR" w:bidi="es-AR"/>
        </w:rPr>
      </w:pPr>
      <w:r>
        <w:rPr>
          <w:color w:val="000000"/>
          <w:lang w:val="es-AR" w:eastAsia="es-AR" w:bidi="es-AR"/>
        </w:rPr>
        <w:t xml:space="preserve">Según de surge de autos, el Banco demandado apeló el auto regulatorio respectivo y luego -contra lo resuelto por esta Alzada- dedujo recurso extraordinario de inaplicabilidad de ley, que fue concedido por este Tribunal, y la SCBA lo declaró mal concedido.  Ello así, el auto regulatorio recién adquirió firmeza cuando quedó firme el último resolutorio aludido. </w:t>
      </w:r>
    </w:p>
    <w:p>
      <w:pPr>
        <w:pStyle w:val="[Normal]"/>
        <w:spacing w:line="480" w:lineRule="auto"/>
        <w:ind w:firstLine="1134"/>
        <w:jc w:val="both"/>
        <w:rPr>
          <w:color w:val="000000"/>
          <w:lang w:val="es-AR" w:eastAsia="es-AR" w:bidi="es-AR"/>
        </w:rPr>
      </w:pPr>
      <w:r>
        <w:rPr>
          <w:color w:val="000000"/>
          <w:lang w:val="es-AR" w:eastAsia="es-AR" w:bidi="es-AR"/>
        </w:rPr>
        <w:t xml:space="preserve">En este caso particular en que el ex mandante del letrado aquí actor, apeló el auto regulatorio de primera instancia, no puede sostenerse válidamente que la fecha a partir de la cual se devenguen los intereses sea aquélla en la que se notificó al banco del mismo desde que no existe fuente legal ni convencional que autorice tal proceder.  Es que como ha dicho reiteradamente este Tribunal -respecto de los honorarios regulados judicialmente-, la mora del deudor se produce desde el vencimiento del plazo de diez días posteriores al momento de haber adquirido firmeza el auto regulatorio, tal como resulta del texto expreso de la ley - pues dada la falta de ese requisito legal antes no existía obligación exigible-, precisamente a partir de tal momento el retardo en el cumplimiento de la obligación se hace jurídicamente relevante -como también comprometería su responsabilidad correspondiendo entonces liquidar intereses desde esa fecha- (arts. 508/9, 621, 622, 724, 750 y ccs. Código Civil, art. 7°, 886/8 y ccs CCyC, arts.  54 y 57 dec. ley 8904/77 ,cfr. Hitters-Cairo, Honorarios de Abogados y Procuradores, pág. 606, 54.2.b.1 y 54.2.b.2, primer y segundo párrafo, CC0000 PE C 5613 RSI-197-5 I 09/08/2005, C 4298 RSI-350-3 I 28/10/2003 JUBA  B2801788, CC0201 LP 94021 RSD-5-3 S 11/02/2003 JUBA B254791, este Tribunal, Causa Nº 179 RSD Nº 42/09 del 9/6/09). </w:t>
      </w:r>
    </w:p>
    <w:p>
      <w:pPr>
        <w:pStyle w:val="[Normal]"/>
        <w:spacing w:line="480" w:lineRule="auto"/>
        <w:ind w:firstLine="1134"/>
        <w:jc w:val="both"/>
        <w:rPr>
          <w:color w:val="000000"/>
          <w:lang w:val="es-AR" w:eastAsia="es-AR" w:bidi="es-AR"/>
        </w:rPr>
      </w:pPr>
      <w:r>
        <w:rPr>
          <w:color w:val="000000"/>
          <w:lang w:val="es-AR" w:eastAsia="es-AR" w:bidi="es-AR"/>
        </w:rPr>
        <w:t xml:space="preserve">Así, en este caso en que han mediado interpuestos recursos de apelación y extraordinario de inaplicabilidad de ley ante la SCBA -concedido por este Tribunal, que la SCBA declaró mal concedido- según emerge de las constancias obrantes a fs. 14/21, el auto regulatorio quedó firme cuando adquirió firmeza el aludido resolutorio del Alto Tribunal (en copia obrante a fs. 20).  Y la mora entonces se produjo entonces luego del vencimiento del plazo de los diez días posteriores a partir de ese momento.</w:t>
      </w:r>
    </w:p>
    <w:p>
      <w:pPr>
        <w:pStyle w:val="[Normal]"/>
        <w:spacing w:line="480" w:lineRule="auto"/>
        <w:ind w:firstLine="1134"/>
        <w:jc w:val="both"/>
        <w:rPr>
          <w:color w:val="000000"/>
          <w:lang w:val="es-AR" w:eastAsia="es-AR" w:bidi="es-AR"/>
        </w:rPr>
      </w:pPr>
      <w:r>
        <w:rPr>
          <w:color w:val="000000"/>
          <w:lang w:val="es-AR" w:eastAsia="es-AR" w:bidi="es-AR"/>
        </w:rPr>
        <w:t xml:space="preserve">II) En relación a los intereses moratorios establecidos en la sentencia, esto es, los "legales" ( art. 54 inc. b ley 8904)", el apelante peticiona se aclare la tasa aplicable.</w:t>
      </w:r>
    </w:p>
    <w:p>
      <w:pPr>
        <w:pStyle w:val="[Normal]"/>
        <w:spacing w:line="480" w:lineRule="auto"/>
        <w:ind w:firstLine="1134"/>
        <w:jc w:val="both"/>
        <w:rPr>
          <w:color w:val="000000"/>
          <w:lang w:val="es-AR" w:eastAsia="es-AR" w:bidi="es-AR"/>
        </w:rPr>
      </w:pPr>
      <w:r>
        <w:rPr>
          <w:color w:val="000000"/>
          <w:lang w:val="es-AR" w:eastAsia="es-AR" w:bidi="es-AR"/>
        </w:rPr>
        <w:t xml:space="preserve">Aduce que "</w:t>
      </w:r>
      <w:r>
        <w:rPr>
          <w:i/>
          <w:color w:val="000000"/>
          <w:lang w:val="es-AR" w:eastAsia="es-AR" w:bidi="es-AR"/>
        </w:rPr>
        <w:t xml:space="preserve">la situación de los honorarios en mora resulta una de las cuestiones más controvertidas por la jurisprudencia a tenor de lo normado por el art. 54 inc. b del dec. 8904/77 y los cuestionamientos que al mismo se abrieron a partir del fallo "ISLA" de la SCJBA que declaró su inconstitucionalidad por resultar contrario al art. 10 de la ley 29328 y la aplicación de la Tasa Pasiva al crédito de estipendios en mora", </w:t>
      </w:r>
      <w:r>
        <w:rPr>
          <w:color w:val="000000"/>
          <w:lang w:val="es-AR" w:eastAsia="es-AR" w:bidi="es-AR"/>
        </w:rPr>
        <w:t xml:space="preserve">afirmando que el fallo aún  no adquirió firmeza.  Sostiene que luego de la sanción del CCCN que reconoce en su art. 552 la tasa activa más alta para créditos por alimentos, hubo fallos de Cámaras departamentales que han considerado que el fallo Isla no constituye ya doctrina legal pues debía esperarse un nuevo pronunciamiento del cimero tribunal a la luz de la nueva legislación. Señalando que posteriormente se dictaron fallos del Tribunal que seguían aplicando el criterio expuesto en el precedente citado.  Afirma que hoy con la nueva ley de honorarios el tema ha sido subsanado.  Que el abogado puede reclamar honorarios en la unidad arancelaria jus prevista en la ley con más un interés del 12% anual o honorarios convertidos al momento de la mora en moneda de curso legal más el interés previsto en el art. 552 CCCN.</w:t>
      </w:r>
    </w:p>
    <w:p>
      <w:pPr>
        <w:pStyle w:val="[Normal]"/>
        <w:spacing w:line="480" w:lineRule="auto"/>
        <w:ind w:firstLine="1134"/>
        <w:jc w:val="both"/>
        <w:rPr>
          <w:color w:val="000000"/>
          <w:lang w:val="es-AR" w:eastAsia="es-AR" w:bidi="es-AR"/>
        </w:rPr>
      </w:pPr>
      <w:r>
        <w:rPr>
          <w:color w:val="000000"/>
          <w:lang w:val="es-AR" w:eastAsia="es-AR" w:bidi="es-AR"/>
        </w:rPr>
        <w:t xml:space="preserve">Entrando a resolver, liminarmente he de señalar que la Suprema Corte de Justicia Provincial es el norte que debe guiar e inspirar la tarea del juzgador.  Y como tal, ha recalcado que "e</w:t>
      </w:r>
      <w:r>
        <w:rPr>
          <w:i/>
          <w:color w:val="000000"/>
          <w:lang w:val="es-AR" w:eastAsia="es-AR" w:bidi="es-AR"/>
        </w:rPr>
        <w:t xml:space="preserv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w:t>
      </w:r>
      <w:r>
        <w:rPr>
          <w:color w:val="000000"/>
          <w:lang w:val="es-AR" w:eastAsia="es-AR" w:bidi="es-AR"/>
        </w:rPr>
        <w:t xml:space="preserve">" (SCBA, Ac. 52.258 del 2/8/94), de allí que la doctrina legal del alto tribunal bonaerense devenga obligatoria para los órganos jurisdiccionales de la instancias ordinarias (art. 161 inc. 3, ap. "a" Const. Pcial).</w:t>
      </w:r>
    </w:p>
    <w:p>
      <w:pPr>
        <w:pStyle w:val="[Normal]"/>
        <w:spacing w:line="480" w:lineRule="auto"/>
        <w:ind w:firstLine="1134"/>
        <w:jc w:val="both"/>
        <w:rPr>
          <w:color w:val="000000"/>
          <w:lang w:val="es-AR" w:eastAsia="es-AR" w:bidi="es-AR"/>
        </w:rPr>
      </w:pPr>
      <w:r>
        <w:rPr>
          <w:color w:val="000000"/>
          <w:lang w:val="es-AR" w:eastAsia="es-AR" w:bidi="es-AR"/>
        </w:rPr>
        <w:t xml:space="preserve">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Cámara Segunda de Apelación en lo Civil y Comercial, Sala Tercera, de La Plata, causa nº 119.309, Reg. 161, del 15/10/2015 JUBA 356049, Morello-Sosa Berizonce, Códigos Procesales...., T° III,  Bs. As. 1988, pág. 494 y ss.).</w:t>
      </w:r>
    </w:p>
    <w:p>
      <w:pPr>
        <w:pStyle w:val="[Normal]"/>
        <w:spacing w:line="480" w:lineRule="auto"/>
        <w:ind w:firstLine="1134"/>
        <w:jc w:val="both"/>
        <w:rPr>
          <w:i/>
          <w:color w:val="000000"/>
          <w:lang w:val="es-AR" w:eastAsia="es-AR" w:bidi="es-AR"/>
        </w:rPr>
      </w:pPr>
      <w:r>
        <w:rPr>
          <w:color w:val="000000"/>
          <w:lang w:val="es-AR" w:eastAsia="es-AR" w:bidi="es-AR"/>
        </w:rPr>
        <w:t xml:space="preserve">En esta causa se están ejecutando honorarios por el importe determinado que se estableció en pesos en el auto regulatorio respectivo, con más los intereses fijados en la sentencia.  Resultando entonces de aplicación el criterio adoptado por la SCBA en supuestos análogos al presente en los que -por los fundamentos que allí ha brindado- ha dispuesto que para el cálculo de los intereses moratorios de los honorarios de los abogados</w:t>
      </w:r>
      <w:r>
        <w:rPr>
          <w:i/>
          <w:color w:val="000000"/>
          <w:lang w:val="es-AR" w:eastAsia="es-AR" w:bidi="es-AR"/>
        </w:rPr>
        <w:t xml:space="preserve"> "... corresponde liquidarlos con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 </w:t>
      </w:r>
      <w:r>
        <w:rPr>
          <w:color w:val="000000"/>
          <w:lang w:val="es-AR" w:eastAsia="es-AR" w:bidi="es-AR"/>
        </w:rPr>
        <w:t xml:space="preserve">(SCBA  "Musotto, Gerardo Raúl. Incidente de ejecución de honorarios" (C. 120.233, resol. de 2-XI-2016) y "Garay, Lucía c/ Fisco de la Provincia de Buenos Aires s/ Ejecución de Honorarios" (C. 118.062, resol. de 15-XI-2016); SCBA LP Rc 122322 I 03/05/2018, entre otros, JUBA B4202784).</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48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color w:val="000000"/>
          <w:lang w:val="es-AR" w:eastAsia="es-AR" w:bidi="es-AR"/>
        </w:rPr>
        <w:t xml:space="preserve">Rechazar el recurso del Banco demandado, y hacer parcialmente lugar al recurso del letrado.  En su mérito confirmar la sentencia apelada en lo principal que decide, estableciendo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-a partir de la fecha de mora indicada en los Considerandos de la presente- hasta el día de su efectivo pago (arts. 622 y 623, Cód. Civ. de Vélez Sarsfield; 7 y 768 inc. "c", Cód. Civ. y Com. de la Nac.; 7 y 10, ley 23.928 y modif.).</w:t>
      </w:r>
    </w:p>
    <w:p>
      <w:pPr>
        <w:pStyle w:val="[Normal]"/>
        <w:spacing w:line="480" w:lineRule="auto"/>
        <w:ind w:firstLine="1134"/>
        <w:jc w:val="both"/>
        <w:rPr>
          <w:color w:val="000000"/>
          <w:lang w:val="es-AR" w:eastAsia="es-AR" w:bidi="es-AR"/>
        </w:rPr>
      </w:pPr>
      <w:r>
        <w:rPr>
          <w:color w:val="000000"/>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color w:val="000000"/>
          <w:lang w:val="es-AR" w:eastAsia="es-AR" w:bidi="es-AR"/>
        </w:rPr>
      </w:pPr>
      <w:r>
        <w:rPr>
          <w:b/>
          <w:color w:val="000000"/>
          <w:lang w:val="es-AR" w:eastAsia="es-AR" w:bidi="es-AR"/>
        </w:rPr>
        <w:t xml:space="preserve">S E N T E N C I A:</w:t>
      </w:r>
    </w:p>
    <w:p>
      <w:pPr>
        <w:pStyle w:val="[Normal]"/>
        <w:spacing w:line="480" w:lineRule="auto"/>
        <w:ind w:firstLine="1134"/>
        <w:jc w:val="both"/>
        <w:rPr>
          <w:color w:val="000000"/>
          <w:lang w:val="es-AR" w:eastAsia="es-AR" w:bidi="es-AR"/>
        </w:rPr>
      </w:pPr>
      <w:r>
        <w:rPr>
          <w:color w:val="000000"/>
          <w:lang w:val="es-AR" w:eastAsia="es-AR" w:bidi="es-AR"/>
        </w:rPr>
        <w:t xml:space="preserve">Rechazar el recurso del Banco demandado, y hacer parcialmente lugar al recurso del letrado.  En su mérito confirmar la sentencia apelada en lo principal que decide, estableciendo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-en la fecha de la mora indicada en los considerandos de la presente- hasta el día de su efectivo pago (arts. 622 y 623, Cód. Civ. de Vélez Sarsfield; 7 y 768 inc. "c", Cód. Civ. y Com. de la Nac.; 7 y 10, ley 23.928 y modif.).</w:t>
      </w:r>
    </w:p>
    <w:p>
      <w:pPr>
        <w:pStyle w:val="[Normal]"/>
        <w:spacing w:line="480" w:lineRule="auto"/>
        <w:ind w:firstLine="1134"/>
        <w:jc w:val="both"/>
        <w:rPr>
          <w:color w:val="000000"/>
          <w:lang w:val="es-AR" w:eastAsia="es-AR" w:bidi="es-AR"/>
        </w:rPr>
      </w:pPr>
      <w:r>
        <w:rPr>
          <w:color w:val="000000"/>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both"/>
        <w:rPr>
          <w:color w:val="000000"/>
          <w:sz w:val="16"/>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Graciela SCARAFFIA</w:t>
      </w:r>
    </w:p>
    <w:p>
      <w:pPr>
        <w:pStyle w:val="[Normal]"/>
        <w:ind w:firstLine="1134"/>
        <w:jc w:val="center"/>
        <w:rPr>
          <w:b/>
          <w:color w:val="000000"/>
          <w:sz w:val="18"/>
          <w:lang w:val="es-AR" w:eastAsia="es-AR" w:bidi="es-AR"/>
        </w:rPr>
      </w:pPr>
      <w:r>
        <w:rPr>
          <w:b/>
          <w:color w:val="000000"/>
          <w:sz w:val="18"/>
          <w:lang w:val="es-AR" w:eastAsia="es-AR" w:bidi="es-AR"/>
        </w:rPr>
        <w:t xml:space="preserve">Presidente Excma. Cámara de</w:t>
      </w:r>
    </w:p>
    <w:p>
      <w:pPr>
        <w:pStyle w:val="[Normal]"/>
        <w:ind w:firstLine="1134"/>
        <w:jc w:val="center"/>
        <w:rPr>
          <w:b/>
          <w:color w:val="000000"/>
          <w:sz w:val="18"/>
          <w:lang w:val="es-AR" w:eastAsia="es-AR" w:bidi="es-AR"/>
        </w:rPr>
      </w:pPr>
      <w:r>
        <w:rPr>
          <w:b/>
          <w:color w:val="000000"/>
          <w:sz w:val="18"/>
          <w:lang w:val="es-AR" w:eastAsia="es-AR" w:bidi="es-AR"/>
        </w:rPr>
        <w:t xml:space="preserve">Apelación en lo Civil y Comercial </w:t>
      </w:r>
    </w:p>
    <w:p>
      <w:pPr>
        <w:pStyle w:val="[Normal]"/>
        <w:ind w:firstLine="1134"/>
        <w:jc w:val="center"/>
        <w:rPr>
          <w:b/>
          <w:color w:val="000000"/>
          <w:sz w:val="18"/>
          <w:lang w:val="es-AR" w:eastAsia="es-AR" w:bidi="es-AR"/>
        </w:rPr>
      </w:pPr>
      <w:r>
        <w:rPr>
          <w:b/>
          <w:color w:val="000000"/>
          <w:sz w:val="18"/>
          <w:lang w:val="es-AR" w:eastAsia="es-AR" w:bidi="es-AR"/>
        </w:rPr>
        <w:t xml:space="preserve">Dpto. Judicial Pergamino</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Roberto Manuel DEGLEUE</w:t>
      </w:r>
    </w:p>
    <w:p>
      <w:pPr>
        <w:pStyle w:val="[Normal]"/>
        <w:ind w:firstLine="1134"/>
        <w:jc w:val="both"/>
        <w:rPr>
          <w:b/>
          <w:color w:val="000000"/>
          <w:sz w:val="18"/>
          <w:lang w:val="es-AR" w:eastAsia="es-AR" w:bidi="es-AR"/>
        </w:rPr>
      </w:pPr>
      <w:r>
        <w:rPr>
          <w:b/>
          <w:color w:val="000000"/>
          <w:sz w:val="18"/>
          <w:lang w:val="es-AR" w:eastAsia="es-AR" w:bidi="es-AR"/>
        </w:rPr>
        <w:t xml:space="preserve">           Juez</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Stella Maris Albani </w:t>
      </w:r>
    </w:p>
    <w:p>
      <w:pPr>
        <w:pStyle w:val="[Normal]"/>
        <w:ind w:firstLine="1134"/>
        <w:jc w:val="center"/>
        <w:rPr>
          <w:b/>
          <w:color w:val="000000"/>
          <w:sz w:val="18"/>
          <w:lang w:val="es-AR" w:eastAsia="es-AR" w:bidi="es-AR"/>
        </w:rPr>
      </w:pPr>
      <w:r>
        <w:rPr>
          <w:b/>
          <w:color w:val="000000"/>
          <w:sz w:val="18"/>
          <w:lang w:val="es-AR" w:eastAsia="es-AR" w:bidi="es-AR"/>
        </w:rPr>
        <w:t xml:space="preserve">Secretaria</w:t>
      </w:r>
    </w:p>
    <w:p>
      <w:pPr>
        <w:pStyle w:val="[Normal]"/>
        <w:rPr>
          <w:b/>
          <w:color w:val="000000"/>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