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b/>
          <w:lang w:val="es-AR" w:eastAsia="es-AR" w:bidi="es-AR"/>
        </w:rPr>
      </w:pPr>
      <w:r>
        <w:rPr>
          <w:sz w:val="20"/>
          <w:lang w:val="es-AR" w:eastAsia="es-AR" w:bidi="es-AR"/>
        </w:rPr>
        <w:t xml:space="preserve"> </w:t>
      </w:r>
      <w:r>
        <w:rPr>
          <w:b/>
          <w:lang w:val="es-AR" w:eastAsia="es-AR" w:bidi="es-AR"/>
        </w:rPr>
        <w:t xml:space="preserve">	</w:t>
      </w:r>
    </w:p>
    <w:p>
      <w:pPr>
        <w:pStyle w:val="[Normal]"/>
        <w:spacing w:line="360" w:lineRule="auto"/>
        <w:rPr>
          <w:color w:val="000000"/>
          <w:lang w:val="es-AR" w:eastAsia="es-AR" w:bidi="es-AR"/>
        </w:rPr>
      </w:pPr>
      <w:r>
        <w:rPr>
          <w:b/>
          <w:lang w:val="es-AR" w:eastAsia="es-AR" w:bidi="es-AR"/>
        </w:rPr>
        <w:t xml:space="preserve">	Registro N°   171     /</w:t>
      </w:r>
      <w:r>
        <w:rPr>
          <w:b/>
          <w:color w:val="000000"/>
          <w:lang w:val="es-AR" w:eastAsia="es-AR" w:bidi="es-AR"/>
        </w:rPr>
        <w:t xml:space="preserve">2018</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805/810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13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3318-18</w:t>
      </w:r>
      <w:r>
        <w:rPr>
          <w:lang w:val="es-AR" w:eastAsia="es-AR" w:bidi="es-AR"/>
        </w:rPr>
        <w:t xml:space="preserve"> caratulada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w:t>
      </w:r>
      <w:r>
        <w:rPr>
          <w:color w:val="000000"/>
          <w:lang w:val="es-AR" w:eastAsia="es-AR" w:bidi="es-AR"/>
        </w:rPr>
        <w:t xml:space="preserve">82.216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 Roberto Degleue y Graciela Scaraffia</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 Roberto Degleue </w:t>
      </w:r>
      <w:r>
        <w:rPr>
          <w:lang w:val="es-AR" w:eastAsia="es-AR" w:bidi="es-AR"/>
        </w:rPr>
        <w:t xml:space="preserve">dijo:</w:t>
      </w:r>
    </w:p>
    <w:p>
      <w:pPr>
        <w:pStyle w:val="[Normal]"/>
        <w:spacing w:line="480" w:lineRule="auto"/>
        <w:ind w:firstLine="1134"/>
        <w:jc w:val="both"/>
        <w:rPr>
          <w:lang w:val="es-AR" w:eastAsia="es-AR" w:bidi="es-AR"/>
        </w:rPr>
      </w:pPr>
      <w:r>
        <w:rPr>
          <w:lang w:val="es-AR" w:eastAsia="es-AR" w:bidi="es-AR"/>
        </w:rPr>
        <w:t xml:space="preserve">El Sr. Juez de la anterior instancia rechazó las defensas opuestas por el banco ejecutado y en consecuencia mandó llevar adelante la ejecución hasta tanto el demandado haga íntegro pago del capital reclamado en autos de $ 5.000, con más los intereses legales (art. 54 inc. b Ley 8904), desde la fecha de la mora (10/04/2018, mandamiento de fs. 19/22), y aportes de ley.</w:t>
      </w:r>
    </w:p>
    <w:p>
      <w:pPr>
        <w:pStyle w:val="[Normal]"/>
        <w:spacing w:line="480" w:lineRule="auto"/>
        <w:ind w:firstLine="1134"/>
        <w:jc w:val="both"/>
        <w:rPr>
          <w:lang w:val="es-AR" w:eastAsia="es-AR" w:bidi="es-AR"/>
        </w:rPr>
      </w:pPr>
      <w:r>
        <w:rPr>
          <w:lang w:val="es-AR" w:eastAsia="es-AR" w:bidi="es-AR"/>
        </w:rPr>
        <w:t xml:space="preserve">Disconformes con lo decidido, la parte actora y la demandada dedujeron recurso de apelación, que fueron concedidos en relación (fs. 56/58, 63/68).- </w:t>
      </w:r>
    </w:p>
    <w:p>
      <w:pPr>
        <w:pStyle w:val="[Normal]"/>
        <w:spacing w:line="480" w:lineRule="auto"/>
        <w:ind w:firstLine="1134"/>
        <w:jc w:val="both"/>
        <w:rPr>
          <w:lang w:val="es-AR" w:eastAsia="es-AR" w:bidi="es-AR"/>
        </w:rPr>
      </w:pPr>
      <w:r>
        <w:rPr>
          <w:lang w:val="es-AR" w:eastAsia="es-AR" w:bidi="es-AR"/>
        </w:rPr>
        <w:t xml:space="preserve">El actor fundó su pieza recursiva mediante escrito electrónico de fecha 15/05/18 (obrante en copia a fs. 58/61), y a fs. 74/75 vta la contraria respondió el traslado que le fuera conferido.-  </w:t>
      </w:r>
    </w:p>
    <w:p>
      <w:pPr>
        <w:pStyle w:val="[Normal]"/>
        <w:spacing w:line="480" w:lineRule="auto"/>
        <w:ind w:firstLine="1134"/>
        <w:jc w:val="both"/>
        <w:rPr>
          <w:lang w:val="es-AR" w:eastAsia="es-AR" w:bidi="es-AR"/>
        </w:rPr>
      </w:pPr>
      <w:r>
        <w:rPr>
          <w:lang w:val="es-AR" w:eastAsia="es-AR" w:bidi="es-AR"/>
        </w:rPr>
        <w:t xml:space="preserve">La demandada fundó su recurso en el acto de su interposición (fs.63/68), habiendo el actor dado respuesta al mismo vía electrónica en fecha 22/05/18(obra copia a fs. 70/72 vta).-</w:t>
      </w:r>
    </w:p>
    <w:p>
      <w:pPr>
        <w:pStyle w:val="[Normal]"/>
        <w:spacing w:line="480" w:lineRule="auto"/>
        <w:ind w:firstLine="1134"/>
        <w:jc w:val="both"/>
        <w:rPr>
          <w:lang w:val="es-AR" w:eastAsia="es-AR" w:bidi="es-AR"/>
        </w:rPr>
      </w:pPr>
      <w:r>
        <w:rPr>
          <w:lang w:val="es-AR" w:eastAsia="es-AR" w:bidi="es-AR"/>
        </w:rPr>
        <w:t xml:space="preserve">A fs. 78 se dictó el llamamiento de autos, providencia que firme a la fecha deja la causa en condiciones de ser fallada.-</w:t>
      </w:r>
    </w:p>
    <w:p>
      <w:pPr>
        <w:pStyle w:val="[Normal]"/>
        <w:spacing w:line="480" w:lineRule="auto"/>
        <w:ind w:firstLine="1134"/>
        <w:jc w:val="both"/>
        <w:rPr>
          <w:lang w:val="es-AR" w:eastAsia="es-AR" w:bidi="es-AR"/>
        </w:rPr>
      </w:pPr>
      <w:r>
        <w:rPr>
          <w:b/>
          <w:lang w:val="es-AR" w:eastAsia="es-AR" w:bidi="es-AR"/>
        </w:rPr>
        <w:t xml:space="preserve">1) Recurso del Banco Provincia de Buenos Aires</w:t>
      </w:r>
    </w:p>
    <w:p>
      <w:pPr>
        <w:pStyle w:val="[Normal]"/>
        <w:spacing w:line="480" w:lineRule="auto"/>
        <w:ind w:firstLine="1134"/>
        <w:jc w:val="both"/>
        <w:rPr>
          <w:lang w:val="es-AR" w:eastAsia="es-AR" w:bidi="es-AR"/>
        </w:rPr>
      </w:pPr>
      <w:r>
        <w:rPr>
          <w:lang w:val="es-AR" w:eastAsia="es-AR" w:bidi="es-AR"/>
        </w:rPr>
        <w:t xml:space="preserve">Recuérdese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480" w:lineRule="auto"/>
        <w:ind w:firstLine="1134"/>
        <w:jc w:val="both"/>
        <w:rPr>
          <w:lang w:val="es-AR" w:eastAsia="es-AR" w:bidi="es-AR"/>
        </w:rPr>
      </w:pPr>
      <w:r>
        <w:rPr>
          <w:lang w:val="es-AR" w:eastAsia="es-AR" w:bidi="es-AR"/>
        </w:rPr>
        <w:t xml:space="preserve">Al respecto ha señalado la SCBA que "...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(cfr. Ac. 49.561, sent. del 31-V-1994 en "Acuerdos y Sentencias", 1994-II-383; Ac. 53.320, sent. del 19-XII-1995 en "Acuerdos y Sentencias", 1995-IV-674; conf. doct. C. 91.877, sent. del 13-XII-2006)" (causa C 1128-13 S 16/07/2014).-</w:t>
      </w:r>
    </w:p>
    <w:p>
      <w:pPr>
        <w:pStyle w:val="[Normal]"/>
        <w:spacing w:line="480" w:lineRule="auto"/>
        <w:ind w:firstLine="1134"/>
        <w:jc w:val="both"/>
        <w:rPr>
          <w:lang w:val="es-AR" w:eastAsia="es-AR" w:bidi="es-AR"/>
        </w:rPr>
      </w:pPr>
      <w:r>
        <w:rPr>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480" w:lineRule="auto"/>
        <w:ind w:firstLine="1134"/>
        <w:jc w:val="both"/>
        <w:rPr>
          <w:lang w:val="es-AR" w:eastAsia="es-AR" w:bidi="es-AR"/>
        </w:rPr>
      </w:pPr>
      <w:r>
        <w:rPr>
          <w:lang w:val="es-AR" w:eastAsia="es-AR" w:bidi="es-AR"/>
        </w:rPr>
        <w:t xml:space="preserve">En la especie, la apoderada de la entidad recurrente se ha limitado a reiterar textualmente por ante esta sede las cuestiones que propuso a conocimiento del juez de primera instancia -relativas a la procedencia de la ejecución de honorarios de letrados en relación de dependencia, domicilio del ejecutado, prohibición de ejecutar honorarios a su cliente cuando existe relación de subordinación que dispone el art. 18 del Arancelaria y alcance de la solidaridad prevista en el art. 58 ley 8904- Empero ha guardado silencio sobre los motivos brindados por el magistrado para rechazarlas.-</w:t>
      </w:r>
    </w:p>
    <w:p>
      <w:pPr>
        <w:pStyle w:val="[Normal]"/>
        <w:spacing w:line="480" w:lineRule="auto"/>
        <w:ind w:firstLine="1134"/>
        <w:jc w:val="both"/>
        <w:rPr>
          <w:lang w:val="es-AR" w:eastAsia="es-AR" w:bidi="es-AR"/>
        </w:rPr>
      </w:pPr>
      <w:r>
        <w:rPr>
          <w:lang w:val="es-AR" w:eastAsia="es-AR" w:bidi="es-AR"/>
        </w:rPr>
        <w:t xml:space="preserve">Y el punto concerniente a la falta de transcripción del artículo 54 en la notificación que le fuera dirigida a su representada, lo introdujo recién en esta sede, debiendo recordarse al respecto que se infringe el principio de congruencia cuando el fallo recae sobre puntos no sometidos al juez de primera instancia y son planteados recién al expresarse agravios, directiva por lo demás que resulta de los artículos 266 y 272 del CPC: el primero en cuanto establece que en la sentencia de Alzada se examinarán las cuestiones de hecho y de derecho sometidas a la decisión del juez de primera instancia que hubiesen sido materia de agravios; el restante dispone que el tribunal no podrá fallar sobre capítulos no propuestos a la decisión del juez de primera instancia (CC0103 LP 243178 RSD-121-9 S 4-8-2009 JUBA B202862) Sin perjuicio de ello, he de advertir que de la documental de fs. 6/7 vta surge que el extremo en cuestión fue debidamente cumplimentado.-</w:t>
      </w:r>
    </w:p>
    <w:p>
      <w:pPr>
        <w:pStyle w:val="[Normal]"/>
        <w:spacing w:line="480" w:lineRule="auto"/>
        <w:ind w:firstLine="1134"/>
        <w:jc w:val="both"/>
        <w:rPr>
          <w:lang w:val="es-AR" w:eastAsia="es-AR" w:bidi="es-AR"/>
        </w:rPr>
      </w:pPr>
      <w:r>
        <w:rPr>
          <w:lang w:val="es-AR" w:eastAsia="es-AR" w:bidi="es-AR"/>
        </w:rPr>
        <w:t xml:space="preserve">Estimo que entonces la pieza recursiva agregada a fs. 63/68 no alcanza a abastecer la carga procesal de alcanzar cierto nivel crítico que permita su tratamiento, mostrándose inidónea ya que no ataca en forma concreta y frontal los verdaderos fundamentos del fallo apelado.-</w:t>
      </w:r>
    </w:p>
    <w:p>
      <w:pPr>
        <w:pStyle w:val="[Normal]"/>
        <w:spacing w:line="480" w:lineRule="auto"/>
        <w:ind w:firstLine="1134"/>
        <w:jc w:val="both"/>
        <w:rPr>
          <w:b/>
          <w:lang w:val="es-AR" w:eastAsia="es-AR" w:bidi="es-AR"/>
        </w:rPr>
      </w:pPr>
      <w:r>
        <w:rPr>
          <w:b/>
          <w:lang w:val="es-AR" w:eastAsia="es-AR" w:bidi="es-AR"/>
        </w:rPr>
        <w:t xml:space="preserve">2) Recurso del actor Dr. Eduardo Oscar Doddi</w:t>
      </w:r>
    </w:p>
    <w:p>
      <w:pPr>
        <w:pStyle w:val="[Normal]"/>
        <w:spacing w:line="480" w:lineRule="auto"/>
        <w:ind w:firstLine="1134"/>
        <w:jc w:val="both"/>
        <w:rPr>
          <w:lang w:val="es-AR" w:eastAsia="es-AR" w:bidi="es-AR"/>
        </w:rPr>
      </w:pPr>
      <w:r>
        <w:rPr>
          <w:lang w:val="es-AR" w:eastAsia="es-AR" w:bidi="es-AR"/>
        </w:rPr>
        <w:t xml:space="preserve">El a-quo mandó llevar adelante la presente ejecución por la suma reclamada, con más los intereses legales (art. 54 inc. b ley 8904) desde la fecha de mora, esto es la del diligenciamiento del mandamiento de intimación de pago y embargo librado en autos (10/04/18).-</w:t>
      </w:r>
    </w:p>
    <w:p>
      <w:pPr>
        <w:pStyle w:val="[Normal]"/>
        <w:spacing w:line="480" w:lineRule="auto"/>
        <w:ind w:firstLine="1134"/>
        <w:jc w:val="both"/>
        <w:rPr>
          <w:b/>
          <w:lang w:val="es-AR" w:eastAsia="es-AR" w:bidi="es-AR"/>
        </w:rPr>
      </w:pPr>
      <w:r>
        <w:rPr>
          <w:lang w:val="es-AR" w:eastAsia="es-AR" w:bidi="es-AR"/>
        </w:rPr>
        <w:t xml:space="preserve">La apelante peticiona se aclare la tasa de interés que ha de aplicarse en autos, aduciendo</w:t>
      </w:r>
      <w:r>
        <w:rPr>
          <w:b/>
          <w:lang w:val="es-AR" w:eastAsia="es-AR" w:bidi="es-AR"/>
        </w:rPr>
        <w:t xml:space="preserve"> </w:t>
      </w:r>
      <w:r>
        <w:rPr>
          <w:lang w:val="es-AR" w:eastAsia="es-AR" w:bidi="es-AR"/>
        </w:rPr>
        <w:t xml:space="preserve">que tal cuestión en materia de honorarios resulta ser una de las más controvertidas por la jurisprudencia a partir del fallo Isla de la SCJBA que declaró la inconstitucionalidad del artículo 54 inc. b ley 8904 por resultar contrario al artículo 10 de la ley 29328 y la aplicación de la Tasa Pasiva al crédito de estipendios en mora. Destaca que el fallo referido aún no adquirió firmeza y que luego de la sanción del C.C.y.C., que reconoce en su art. 552 la tasa activa más alta para créditos por alimentos, distintas Cámaras departamentales han ratificado la vigencia de la tasa activa del citado</w:t>
      </w:r>
      <w:r>
        <w:rPr>
          <w:b/>
          <w:lang w:val="es-AR" w:eastAsia="es-AR" w:bidi="es-AR"/>
        </w:rPr>
        <w:t xml:space="preserve"> </w:t>
      </w:r>
      <w:r>
        <w:rPr>
          <w:lang w:val="es-AR" w:eastAsia="es-AR" w:bidi="es-AR"/>
        </w:rPr>
        <w:t xml:space="preserve">artículo 54, previo considerar que el fallo Isla no constituye ya doctrina legal puesto que debía esperarse un nuevo pronunciamiento del cimero tribunal a la luz de la nueva legislación. Agregando que hoy con la nueva ley de honorarios el tema ha sido subsanado en tanto el abogado puede reclamar honorarios en la unidad arancelaria jus prevista en la ley con más un interés del 12% anual o honorarios convertidos al momento de la mora en moneda de curso legal más el interés previsto en el art. 552 C.C.Y.C.-</w:t>
      </w:r>
    </w:p>
    <w:p>
      <w:pPr>
        <w:pStyle w:val="[Normal]"/>
        <w:spacing w:line="480" w:lineRule="auto"/>
        <w:ind w:firstLine="1134"/>
        <w:jc w:val="both"/>
        <w:rPr>
          <w:lang w:val="es-AR" w:eastAsia="es-AR" w:bidi="es-AR"/>
        </w:rPr>
      </w:pPr>
      <w:r>
        <w:rPr>
          <w:lang w:val="es-AR" w:eastAsia="es-AR" w:bidi="es-AR"/>
        </w:rPr>
        <w:t xml:space="preserve">En otro orden, se agravia de la fecha de mora fijada, señalando que la misma en materia de honorarios opera desde la notificación del auto regulatorio.-</w:t>
      </w:r>
    </w:p>
    <w:p>
      <w:pPr>
        <w:pStyle w:val="[Normal]"/>
        <w:spacing w:line="480" w:lineRule="auto"/>
        <w:ind w:firstLine="1134"/>
        <w:jc w:val="both"/>
        <w:rPr>
          <w:lang w:val="es-AR" w:eastAsia="es-AR" w:bidi="es-AR"/>
        </w:rPr>
      </w:pPr>
      <w:r>
        <w:rPr>
          <w:lang w:val="es-AR" w:eastAsia="es-AR" w:bidi="es-AR"/>
        </w:rPr>
        <w:t xml:space="preserve">Entrando a resolver, liminarmente he de señalar que la Suprema Corte de Justicia Provincial es el norte que debe guiar e inspirar la tarea del juzgador. Y como tal, ha recalcado que "el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 en propugnar soluciones que irremisiblemente habrían de ser casadas" (SCBA, Ac. 52.258 del 2/8/94; e.o), de allí que la doctrina legal de la Casación bonaerense devenga obligatoria para los órganos jurisdiccionales de la instancias ordinarias (art. 161 inc. 3, ap. "a" Const. Pcial; esta Sala, B-82.123, reg. sent. 326/95; B-84.791 reg. sent. 48/97; B-87.496 reg. sent. 282/97, 99.419 reg. sent. 86/06, 117.665 reg. sent. 100/14, e.o).-</w:t>
      </w:r>
    </w:p>
    <w:p>
      <w:pPr>
        <w:pStyle w:val="[Normal]"/>
        <w:spacing w:line="480" w:lineRule="auto"/>
        <w:ind w:firstLine="1134"/>
        <w:jc w:val="both"/>
        <w:rPr>
          <w:lang w:val="es-AR" w:eastAsia="es-AR" w:bidi="es-AR"/>
        </w:rPr>
      </w:pPr>
      <w:r>
        <w:rPr>
          <w:lang w:val="es-AR" w:eastAsia="es-AR" w:bidi="es-AR"/>
        </w:rPr>
        <w:t xml:space="preserve">Así, se ha sostenido también en torno al tema, que si uno de los fines del recurso de inaplicabilidad de la ley es el de mantener la uniformidad de la jurisprudencia, como medio de hacer efectiva la igualdad ante la ley, resulta claro que los jueces y tribunales de las instancias ordinarias deben aplicar la jurisprudencia establecida por la Suprema Corte de Justicia porque si bien los fallos que ésta dicta resuelven el caso particular, también determinan la jurisprudencia aplicable a los casos análogos por su naturaleza y circunstancias (art. 161 inc. 3° ap. a Const. Pcial; SCBA, Ac. y Sent. 1959- IV-169; eo., Ibañez Frocham, Tratado de los recursos en el proceso civil, Omega, p. 313 y sig., Morello y otros, Códigos procesales..., T. III, p. 502, ap. b y c; esta Sala causas B-79.790 reg. sent. 38/95; B-80.472 reg. sent. 34/95; e.o) (conf. Cámara Segunda de Apelación en lo Civil y Comercial, Sala Tercera, de La Plata, causa nº 119.309, Reg. 161, del 15/10/2015).-</w:t>
      </w:r>
    </w:p>
    <w:p>
      <w:pPr>
        <w:pStyle w:val="[Normal]"/>
        <w:spacing w:line="480" w:lineRule="auto"/>
        <w:ind w:firstLine="1134"/>
        <w:jc w:val="both"/>
        <w:rPr>
          <w:lang w:val="es-AR" w:eastAsia="es-AR" w:bidi="es-AR"/>
        </w:rPr>
      </w:pPr>
      <w:r>
        <w:rPr>
          <w:lang w:val="es-AR" w:eastAsia="es-AR" w:bidi="es-AR"/>
        </w:rPr>
        <w:t xml:space="preserve">En esta causa se persigue la ejecución de honorarios fijados judicialmente, con más la de sus intereses. Resultando entonces de aplicación el criterio adoptado por la SCBA en  supuestos análogos al presente, que para el cálculo de los intereses moratorios de los honorarios de los abogados ha dispuesto que  "... corresponde liquidarlos con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hasta el día de su efectivo pago (arts. 622 y 623, Cód. Civ. de Vélez Sarsfield; 7 y 768 inc. "c", Cód. Civ. y Com. de la Nac.; 7 y 10, ley 23.928 y modif.)" (SCBA LP Rc 122322 I 03/05/2018, entre otros, JUBA B4202784).-</w:t>
      </w:r>
    </w:p>
    <w:p>
      <w:pPr>
        <w:pStyle w:val="[Normal]"/>
        <w:spacing w:line="480" w:lineRule="auto"/>
        <w:ind w:firstLine="1134"/>
        <w:jc w:val="both"/>
        <w:rPr>
          <w:lang w:val="es-AR" w:eastAsia="es-AR" w:bidi="es-AR"/>
        </w:rPr>
      </w:pPr>
      <w:r>
        <w:rPr>
          <w:lang w:val="es-AR" w:eastAsia="es-AR" w:bidi="es-AR"/>
        </w:rPr>
        <w:t xml:space="preserve">Ahora en punto a la fecha a partir de la cual habrán de devengarse los intereses moratorios, primeramente cuadra reiterar que la notificación del auto regulatorio a la entidad accionada se practicó con la debida transcripción del artículo 54 de la LH.P., (ver fs. 6/7 vta).-</w:t>
      </w:r>
    </w:p>
    <w:p>
      <w:pPr>
        <w:pStyle w:val="[Normal]"/>
        <w:spacing w:line="480" w:lineRule="auto"/>
        <w:ind w:firstLine="1134"/>
        <w:jc w:val="both"/>
        <w:rPr>
          <w:lang w:val="es-AR" w:eastAsia="es-AR" w:bidi="es-AR"/>
        </w:rPr>
      </w:pPr>
      <w:r>
        <w:rPr>
          <w:lang w:val="es-AR" w:eastAsia="es-AR" w:bidi="es-AR"/>
        </w:rPr>
        <w:t xml:space="preserve">Aclarado ello, he de recordar que es criterio sostenido de este Tribunal -respecto de los honorarios regulados judicialmente- que la mora del deudor se produce desde el vencimiento del plazo de diez días posteriores al momento de haber adquirido firmeza el auto regulatorio, tal como resulta del texto expreso de la ley -pues dada la falta de ese requisito legal antes no existía obligación exigible-, precisamente a partir de tal momento el retardo en el cumplimiento de la obligación se hace jurídicamente relevante -como también comprometería su responsabilidad correspondiendo entonces liquidar intereses desde esa fecha- (arts. 508/9, 621, 622, 724, 750 y ccs. Código Civil, art. 7°, 886/8 y ccs CCyC, arts.  54 y 57 dec. ley 8904/77 ,cfr. Hitters-Cairo, Honorarios de Abogados y Procuradores, pág. 606,  54.2.b.1 y 54.2.b.2, primer y segundo párrafo,   CC0000 PE C 5613 RSI-197-5 I 09/08/2005, C 4298 RSI-350-3 I 28/10/2003 JUBA  B2801788, CC0201 LP 94021 RSD-5-3 S 11/02/2003 JUBA B254791, este Tribunal, Causa Nº 179  RSD Nº 42/09 del 9/6/09).- </w:t>
      </w:r>
    </w:p>
    <w:p>
      <w:pPr>
        <w:pStyle w:val="[Normal]"/>
        <w:spacing w:line="480" w:lineRule="auto"/>
        <w:ind w:firstLine="1134"/>
        <w:jc w:val="both"/>
        <w:rPr>
          <w:lang w:val="es-AR" w:eastAsia="es-AR" w:bidi="es-AR"/>
        </w:rPr>
      </w:pPr>
      <w:r>
        <w:rPr>
          <w:lang w:val="es-AR" w:eastAsia="es-AR" w:bidi="es-AR"/>
        </w:rPr>
        <w:t xml:space="preserve">Así, en este caso en que han mediado interpuestos recursos de apelación y extraordinario de inaplicabilidad de ley ante la SCBA -concedido por este Tribunal, que la SCBA declaró mal concedido- según emerge de las constancias obrantes a fs. 8/13 vta, el auto regulatorio quedó firme cuando adquirió firmeza el aludido resolutorio del Alto Tribunal. Y la mora se produjo entonces luego del vencimiento del plazo de los diez días posteriores a partir de ese momento. No pudiendo sostenerse válidamente que la fecha a partir de la cual se devenguen los intereses sea aquélla en la que  se notificó al banco del auto regulatorio desde que no existe fuente legal ni convencional que autorice tal proceder.- </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w:t>
      </w:r>
      <w:r>
        <w:rPr>
          <w:color w:val="000000"/>
          <w:lang w:val="es-AR" w:eastAsia="es-AR" w:bidi="es-AR"/>
        </w:rPr>
        <w:t xml:space="preserve">Graciela Scaraffia</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 Roberto Degleue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del Banco demandado, y hacer parcialmente lugar al recurso del letrado. En su mérito confirmar la sentencia apelada en lo principal que decide, estableciendo que los intereses moratorios de los honorarios que aquí se ejecutan han de liquidarse con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la</w:t>
      </w:r>
      <w:r>
        <w:rPr>
          <w:b/>
          <w:lang w:val="es-AR" w:eastAsia="es-AR" w:bidi="es-AR"/>
        </w:rPr>
        <w:t xml:space="preserve"> </w:t>
      </w:r>
      <w:r>
        <w:rPr>
          <w:lang w:val="es-AR" w:eastAsia="es-AR" w:bidi="es-AR"/>
        </w:rPr>
        <w:t xml:space="preserve">fecha de la mora indicada en los considerandos de la presente hasta el día de su efectivo pago (arts. 622 y 623, Cód. Civ. de Vélez Sarsfield; 7 y 768 inc. "c", Cód. Civ. y Com. de la Nac.; 7 y 10, ley 23.928 y modif.).- </w:t>
      </w:r>
    </w:p>
    <w:p>
      <w:pPr>
        <w:pStyle w:val="[Normal]"/>
        <w:spacing w:line="480" w:lineRule="auto"/>
        <w:ind w:firstLine="1134"/>
        <w:jc w:val="both"/>
        <w:rPr>
          <w:lang w:val="es-AR" w:eastAsia="es-AR" w:bidi="es-AR"/>
        </w:rPr>
      </w:pPr>
      <w:r>
        <w:rPr>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w:t>
      </w:r>
      <w:r>
        <w:rPr>
          <w:color w:val="000000"/>
          <w:lang w:val="es-AR" w:eastAsia="es-AR" w:bidi="es-AR"/>
        </w:rPr>
        <w:t xml:space="preserve">Graciela Scaraffia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Rechazar el recurso del Banco demandado, y hacer parcialmente lugar al recurso del letrado. En su mérito confirmar la sentencia apelada en lo principal que decide, estableciendo que los intereses moratorios de los honorarios que aquí se ejecutan han de liquidarse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la fecha de la mora indicada en los considerandos de la presente  hasta el día de su efectivo pago (arts. 622 y 623, Cód. Civ. de Vélez Sarsfield; 7 y 768 inc. "c", Cód. Civ. y Com. de la Nac.; 7 y 10, ley 23.928 y modif.).- </w:t>
      </w:r>
    </w:p>
    <w:p>
      <w:pPr>
        <w:pStyle w:val="[Normal]"/>
        <w:spacing w:line="480" w:lineRule="auto"/>
        <w:ind w:firstLine="1134"/>
        <w:jc w:val="both"/>
        <w:rPr>
          <w:lang w:val="es-AR" w:eastAsia="es-AR" w:bidi="es-AR"/>
        </w:rPr>
      </w:pPr>
      <w:r>
        <w:rPr>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