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Registro N°   173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816/817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22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w:t>
      </w:r>
      <w:r>
        <w:rPr>
          <w:i/>
          <w:lang w:val="es-AR" w:eastAsia="es-AR" w:bidi="es-AR"/>
        </w:rPr>
        <w:t xml:space="preserve"> </w:t>
      </w:r>
      <w:r>
        <w:rPr>
          <w:i/>
          <w:color w:val="000000"/>
          <w:lang w:val="es-AR" w:eastAsia="es-AR" w:bidi="es-AR"/>
        </w:rPr>
        <w:t xml:space="preserve">3439-18</w:t>
      </w:r>
      <w:r>
        <w:rPr>
          <w:lang w:val="es-AR" w:eastAsia="es-AR" w:bidi="es-AR"/>
        </w:rPr>
        <w:t xml:space="preserve"> caratulada </w:t>
      </w:r>
      <w:r>
        <w:rPr>
          <w:b/>
          <w:i/>
          <w:lang w:val="es-AR" w:eastAsia="es-AR" w:bidi="es-AR"/>
        </w:rPr>
        <w:t xml:space="preserve">"</w:t>
      </w:r>
      <w:r>
        <w:rPr>
          <w:b/>
          <w:i/>
          <w:color w:val="000000"/>
          <w:lang w:val="es-AR" w:eastAsia="es-AR" w:bidi="es-AR"/>
        </w:rPr>
        <w:t xml:space="preserve">BANCO DE LA PROVINCIA DE BUENOS AIRES  C/ NUÑEZ Francisco Ariel s/ Cobro Ordinario de Sumas De Dinero</w:t>
      </w:r>
      <w:r>
        <w:rPr>
          <w:i/>
          <w:lang w:val="es-AR" w:eastAsia="es-AR" w:bidi="es-AR"/>
        </w:rPr>
        <w:t xml:space="preserve">"</w:t>
      </w:r>
      <w:r>
        <w:rPr>
          <w:lang w:val="es-AR" w:eastAsia="es-AR" w:bidi="es-AR"/>
        </w:rPr>
        <w:t xml:space="preserve">, Expte. </w:t>
      </w:r>
      <w:r>
        <w:rPr>
          <w:color w:val="000000"/>
          <w:lang w:val="es-AR" w:eastAsia="es-AR" w:bidi="es-AR"/>
        </w:rPr>
        <w:t xml:space="preserve">72960 del Juzgado en lo Civil y Comercial N° 3 departamental</w:t>
      </w:r>
      <w:r>
        <w:rPr>
          <w:lang w:val="es-AR" w:eastAsia="es-AR" w:bidi="es-AR"/>
        </w:rPr>
        <w:t xml:space="preserve">, se practicó el sorteo de ley que determinó que la votación debía efectuarse en el siguiente orden: </w:t>
      </w:r>
      <w:r>
        <w:rPr>
          <w:b/>
          <w:color w:val="000000"/>
          <w:lang w:val="es-AR" w:eastAsia="es-AR" w:bidi="es-AR"/>
        </w:rPr>
        <w:t xml:space="preserve">Roberto DEGLEUE y Graciela SCARAFFIA</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w:t>
      </w:r>
      <w:r>
        <w:rPr>
          <w:b/>
          <w:color w:val="000000"/>
          <w:lang w:val="es-AR" w:eastAsia="es-AR" w:bidi="es-AR"/>
        </w:rPr>
        <w:t xml:space="preserve">Roberto DEGLEUE  </w:t>
      </w:r>
      <w:r>
        <w:rPr>
          <w:lang w:val="es-AR" w:eastAsia="es-AR" w:bidi="es-AR"/>
        </w:rPr>
        <w:t xml:space="preserve"> dijo:</w:t>
      </w:r>
    </w:p>
    <w:p>
      <w:pPr>
        <w:pStyle w:val="[Normal]"/>
        <w:spacing w:line="480" w:lineRule="auto"/>
        <w:ind w:firstLine="1134"/>
        <w:jc w:val="both"/>
        <w:rPr>
          <w:lang w:val="es-AR" w:eastAsia="es-AR" w:bidi="es-AR"/>
        </w:rPr>
      </w:pPr>
      <w:r>
        <w:rPr>
          <w:lang w:val="es-AR" w:eastAsia="es-AR" w:bidi="es-AR"/>
        </w:rPr>
        <w:t xml:space="preserve">El juzgador dispuso que en forma previa a dar curso a la acción debía acreditarse haber cumplimentado acabadamente con la etapa de mediación previa. Consideró que  el régimen de mediación es de interés público  y obligatorio (arts. 1 y 2 ley 13.951),  que  la acción que se intenta se halla contemplada dentro de las comprendidas en el grupo de "mediación obligatoria" en el Anexo A del Reglamento para el Sorteo de Mediadores dictado por la S.C y que no se encuentra contemplada dentro de las exclusiones contempladas en el art. 4° de la citada norma. </w:t>
      </w:r>
    </w:p>
    <w:p>
      <w:pPr>
        <w:pStyle w:val="[Normal]"/>
        <w:spacing w:line="480" w:lineRule="auto"/>
        <w:ind w:firstLine="1134"/>
        <w:jc w:val="both"/>
        <w:rPr>
          <w:lang w:val="es-AR" w:eastAsia="es-AR" w:bidi="es-AR"/>
        </w:rPr>
      </w:pPr>
      <w:r>
        <w:rPr>
          <w:lang w:val="es-AR" w:eastAsia="es-AR" w:bidi="es-AR"/>
        </w:rPr>
        <w:t xml:space="preserve">El Banco de la Provincia de Buenos Aires dedujo el recurso de apelación en tratamiento.</w:t>
      </w:r>
    </w:p>
    <w:p>
      <w:pPr>
        <w:pStyle w:val="[Normal]"/>
        <w:spacing w:line="480" w:lineRule="auto"/>
        <w:ind w:firstLine="1134"/>
        <w:jc w:val="both"/>
        <w:rPr>
          <w:lang w:val="es-AR" w:eastAsia="es-AR" w:bidi="es-AR"/>
        </w:rPr>
      </w:pPr>
      <w:r>
        <w:rPr>
          <w:lang w:val="es-AR" w:eastAsia="es-AR" w:bidi="es-AR"/>
        </w:rPr>
        <w:t xml:space="preserve">Señala que la denegación del a quo priva el debido acceso irrestricto, expedito, a la justicia al Banco público de la Provincia de Buenos Aires. Y que dicho  ente  público se encuentra dentro de las excepciones de carácter subjetivo establecidas por el plexo legal (art. 4 Ley de Mediación). Argumentando sobre el punto.</w:t>
      </w:r>
    </w:p>
    <w:p>
      <w:pPr>
        <w:pStyle w:val="[Normal]"/>
        <w:spacing w:line="480" w:lineRule="auto"/>
        <w:ind w:firstLine="1134"/>
        <w:jc w:val="both"/>
        <w:rPr>
          <w:lang w:val="es-AR" w:eastAsia="es-AR" w:bidi="es-AR"/>
        </w:rPr>
      </w:pPr>
      <w:r>
        <w:rPr>
          <w:lang w:val="es-AR" w:eastAsia="es-AR" w:bidi="es-AR"/>
        </w:rPr>
        <w:t xml:space="preserve">Ya en tratamiento del recurso cabe señalar que la ley excluye de la mediación a las "</w:t>
      </w:r>
      <w:r>
        <w:rPr>
          <w:b/>
          <w:lang w:val="es-AR" w:eastAsia="es-AR" w:bidi="es-AR"/>
        </w:rPr>
        <w:t xml:space="preserve">Causas en las que el Estado Nacional, Provincial, Municipal o los Entes Descentralizados sean parte</w:t>
      </w:r>
      <w:r>
        <w:rPr>
          <w:lang w:val="es-AR" w:eastAsia="es-AR" w:bidi="es-AR"/>
        </w:rPr>
        <w:t xml:space="preserve">" (art. 4° inc. 4°). </w:t>
      </w:r>
    </w:p>
    <w:p>
      <w:pPr>
        <w:pStyle w:val="[Normal]"/>
        <w:spacing w:line="480" w:lineRule="auto"/>
        <w:ind w:firstLine="1134"/>
        <w:jc w:val="both"/>
        <w:rPr>
          <w:lang w:val="es-AR" w:eastAsia="es-AR" w:bidi="es-AR"/>
        </w:rPr>
      </w:pPr>
      <w:r>
        <w:rPr>
          <w:lang w:val="es-AR" w:eastAsia="es-AR" w:bidi="es-AR"/>
        </w:rPr>
        <w:t xml:space="preserve">En este caso la excepción es de carácter subjetivo, y atiende al carácter público de la persona jurídica que es sujeto del proceso. </w:t>
      </w:r>
    </w:p>
    <w:p>
      <w:pPr>
        <w:pStyle w:val="[Normal]"/>
        <w:spacing w:line="480" w:lineRule="auto"/>
        <w:ind w:firstLine="1134"/>
        <w:jc w:val="both"/>
        <w:rPr>
          <w:lang w:val="es-AR" w:eastAsia="es-AR" w:bidi="es-AR"/>
        </w:rPr>
      </w:pPr>
      <w:r>
        <w:rPr>
          <w:lang w:val="es-AR" w:eastAsia="es-AR" w:bidi="es-AR"/>
        </w:rPr>
        <w:t xml:space="preserve"> En atención a la peculiar naturaleza jurídica de la institución actora -Banco de la Provincia de Buenos Aires-, dado su origen constitucional, no cabe dudas que se halla incluído en las previsiones de la norma citada. Es que la Carta Orgánica del Banco de la Provincia de Buenos Aires establece en su art. 1° que  el mismo es una "</w:t>
      </w:r>
      <w:r>
        <w:rPr>
          <w:b/>
          <w:i/>
          <w:lang w:val="es-AR" w:eastAsia="es-AR" w:bidi="es-AR"/>
        </w:rPr>
        <w:t xml:space="preserve">institución autárquica de derecho público, en su carácter de Banco de Estado</w:t>
      </w:r>
      <w:r>
        <w:rPr>
          <w:i/>
          <w:lang w:val="es-AR" w:eastAsia="es-AR" w:bidi="es-AR"/>
        </w:rPr>
        <w:t xml:space="preserve">, con el origen, garantías y privilegios declarados en el preámbulo y en los artículos 31 y 104 de la Constitución Nacional, en la Ley Nacional de origen contractual número 1029 y en las Leyes de la Provincia</w:t>
      </w:r>
      <w:r>
        <w:rPr>
          <w:lang w:val="es-AR" w:eastAsia="es-AR" w:bidi="es-AR"/>
        </w:rPr>
        <w:t xml:space="preserve">"  (art. 145/7 CCyC).</w:t>
      </w:r>
    </w:p>
    <w:p>
      <w:pPr>
        <w:pStyle w:val="[Normal]"/>
        <w:spacing w:line="480" w:lineRule="auto"/>
        <w:ind w:firstLine="1134"/>
        <w:jc w:val="both"/>
        <w:rPr>
          <w:lang w:val="es-AR" w:eastAsia="es-AR" w:bidi="es-AR"/>
        </w:rPr>
      </w:pPr>
      <w:r>
        <w:rPr>
          <w:lang w:val="es-AR" w:eastAsia="es-AR" w:bidi="es-AR"/>
        </w:rPr>
        <w:t xml:space="preserve">Acótase que aún cuando en el presente caso el banco oficial acciona en virtud de un contrato celebrado con un particular y la cuestión se halla regida por el Código Civil y Comercial y por las leyes especiales, que corresponden al derecho privado por tratarse de materia expresamente  excluída del fuero contencioso administrativo (Ley 12008 art. 2 inc. 3°), siendo que las personas jurídicas públicas se rigen en cuanto a su capacidad y funcionamiento por las leyes y ordenamientos de su constitución (art. 146 C.C.yC.), cabe presumir que el banco actor posee  una escasa o nula capacidad de negociación. Y tal circunstancia obstaría al éxito de una eventual mediación. </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NEGATIVA.</w:t>
      </w:r>
    </w:p>
    <w:p>
      <w:pPr>
        <w:pStyle w:val="[Normal]"/>
        <w:spacing w:line="480" w:lineRule="auto"/>
        <w:ind w:firstLine="1134"/>
        <w:jc w:val="both"/>
        <w:rPr>
          <w:lang w:val="es-AR" w:eastAsia="es-AR" w:bidi="es-AR"/>
        </w:rPr>
      </w:pPr>
      <w:r>
        <w:rPr>
          <w:lang w:val="es-AR" w:eastAsia="es-AR" w:bidi="es-AR"/>
        </w:rPr>
        <w:t xml:space="preserve">A la misma cuestión la señora Jueza </w:t>
      </w:r>
      <w:r>
        <w:rPr>
          <w:b/>
          <w:color w:val="000000"/>
          <w:lang w:val="es-AR" w:eastAsia="es-AR" w:bidi="es-AR"/>
        </w:rPr>
        <w:t xml:space="preserve">Graciela SCARAFFIA</w:t>
      </w:r>
      <w:r>
        <w:rPr>
          <w:lang w:val="es-AR" w:eastAsia="es-AR" w:bidi="es-AR"/>
        </w:rPr>
        <w:t xml:space="preserve"> </w:t>
      </w:r>
      <w:r>
        <w:rPr>
          <w:b/>
          <w:color w:val="000000"/>
          <w:lang w:val="es-AR" w:eastAsia="es-AR" w:bidi="es-AR"/>
        </w:rPr>
        <w:t xml:space="preserve">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w:t>
      </w:r>
      <w:r>
        <w:rPr>
          <w:b/>
          <w:color w:val="000000"/>
          <w:lang w:val="es-AR" w:eastAsia="es-AR" w:bidi="es-AR"/>
        </w:rPr>
        <w:t xml:space="preserve">  </w:t>
      </w:r>
      <w:r>
        <w:rPr>
          <w:color w:val="000000"/>
          <w:lang w:val="es-AR" w:eastAsia="es-AR" w:bidi="es-AR"/>
        </w:rPr>
        <w:t xml:space="preserve">el señor Juez </w:t>
      </w:r>
      <w:r>
        <w:rPr>
          <w:b/>
          <w:color w:val="000000"/>
          <w:lang w:val="es-AR" w:eastAsia="es-AR" w:bidi="es-AR"/>
        </w:rPr>
        <w:t xml:space="preserve">Roberto DEGLEUE </w:t>
      </w:r>
      <w:r>
        <w:rPr>
          <w:lang w:val="es-AR" w:eastAsia="es-AR" w:bidi="es-AR"/>
        </w:rPr>
        <w:t xml:space="preserve">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Hacer lugar al recurso interpuesto y revocar el decisorio impugnado. En su mérito deberá el quo proveer a la causa según su estado.- </w:t>
      </w:r>
    </w:p>
    <w:p>
      <w:pPr>
        <w:pStyle w:val="[Normal]"/>
        <w:spacing w:line="480" w:lineRule="auto"/>
        <w:ind w:firstLine="1134"/>
        <w:jc w:val="both"/>
        <w:rPr>
          <w:lang w:val="es-AR" w:eastAsia="es-AR" w:bidi="es-AR"/>
        </w:rPr>
      </w:pPr>
      <w:r>
        <w:rPr>
          <w:lang w:val="es-AR" w:eastAsia="es-AR" w:bidi="es-AR"/>
        </w:rPr>
        <w:t xml:space="preserve">Sin costas por no mediar controversia de partes (arts. 68 </w:t>
      </w:r>
      <w:r>
        <w:rPr>
          <w:i/>
          <w:lang w:val="es-AR" w:eastAsia="es-AR" w:bidi="es-AR"/>
        </w:rPr>
        <w:t xml:space="preserve">a contrario sensu</w:t>
      </w:r>
      <w:r>
        <w:rPr>
          <w:lang w:val="es-AR" w:eastAsia="es-AR" w:bidi="es-AR"/>
        </w:rPr>
        <w:t xml:space="preserve"> y ccs. del CPCC). </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w:t>
      </w:r>
      <w:r>
        <w:rPr>
          <w:b/>
          <w:color w:val="000000"/>
          <w:lang w:val="es-AR" w:eastAsia="es-AR" w:bidi="es-AR"/>
        </w:rPr>
        <w:t xml:space="preserve">Graciela SCARAFFIA </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Hacer lugar al recurso interpuesto y revocar el decisorio impugnado. En su mérito deberá el quo proveer a la causa según su estado.- </w:t>
      </w:r>
    </w:p>
    <w:p>
      <w:pPr>
        <w:pStyle w:val="[Normal]"/>
        <w:spacing w:line="480" w:lineRule="auto"/>
        <w:ind w:firstLine="1134"/>
        <w:jc w:val="both"/>
        <w:rPr>
          <w:lang w:val="es-AR" w:eastAsia="es-AR" w:bidi="es-AR"/>
        </w:rPr>
      </w:pPr>
      <w:r>
        <w:rPr>
          <w:lang w:val="es-AR" w:eastAsia="es-AR" w:bidi="es-AR"/>
        </w:rPr>
        <w:t xml:space="preserve">Sin costas por no mediar controversia de partes (arts. 68 </w:t>
      </w:r>
      <w:r>
        <w:rPr>
          <w:i/>
          <w:lang w:val="es-AR" w:eastAsia="es-AR" w:bidi="es-AR"/>
        </w:rPr>
        <w:t xml:space="preserve">a contrario sensu</w:t>
      </w:r>
      <w:r>
        <w:rPr>
          <w:lang w:val="es-AR" w:eastAsia="es-AR" w:bidi="es-AR"/>
        </w:rPr>
        <w:t xml:space="preserve"> y ccs. del CPCC). </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Graciela Scaraffia  </w:t>
      </w:r>
    </w:p>
    <w:p>
      <w:pPr>
        <w:pStyle w:val="[Normal]"/>
        <w:jc w:val="both"/>
        <w:rPr>
          <w:b/>
          <w:color w:val="000000"/>
          <w:sz w:val="18"/>
          <w:lang w:val="es-AR" w:eastAsia="es-AR" w:bidi="es-AR"/>
        </w:rPr>
      </w:pPr>
      <w:r>
        <w:rPr>
          <w:b/>
          <w:color w:val="000000"/>
          <w:sz w:val="18"/>
          <w:lang w:val="es-AR" w:eastAsia="es-AR" w:bidi="es-AR"/>
        </w:rPr>
        <w:t xml:space="preserve">                                                                 Presidente</w:t>
      </w:r>
    </w:p>
    <w:p>
      <w:pPr>
        <w:pStyle w:val="[Normal]"/>
        <w:jc w:val="both"/>
        <w:rPr>
          <w:b/>
          <w:color w:val="000000"/>
          <w:sz w:val="18"/>
          <w:lang w:val="es-AR" w:eastAsia="es-AR" w:bidi="es-AR"/>
        </w:rPr>
      </w:pPr>
      <w:r>
        <w:rPr>
          <w:b/>
          <w:color w:val="000000"/>
          <w:sz w:val="18"/>
          <w:lang w:val="es-AR" w:eastAsia="es-AR" w:bidi="es-AR"/>
        </w:rPr>
        <w:t xml:space="preserve">                                    Cámara de Apelación  en lo Civil y Comercial </w:t>
      </w:r>
    </w:p>
    <w:p>
      <w:pPr>
        <w:pStyle w:val="[Normal]"/>
        <w:jc w:val="both"/>
        <w:rPr>
          <w:b/>
          <w:color w:val="000000"/>
          <w:sz w:val="18"/>
          <w:lang w:val="es-AR" w:eastAsia="es-AR" w:bidi="es-AR"/>
        </w:rPr>
      </w:pPr>
      <w:r>
        <w:rPr>
          <w:b/>
          <w:color w:val="000000"/>
          <w:sz w:val="18"/>
          <w:lang w:val="es-AR" w:eastAsia="es-AR" w:bidi="es-AR"/>
        </w:rPr>
        <w:t xml:space="preserve">                                                     Dpto. Judicial Pergamino </w:t>
      </w: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Roberto Manuel Degleue                                         </w:t>
      </w:r>
    </w:p>
    <w:p>
      <w:pPr>
        <w:pStyle w:val="[Normal]"/>
        <w:jc w:val="both"/>
        <w:rPr>
          <w:b/>
          <w:color w:val="000000"/>
          <w:sz w:val="18"/>
          <w:lang w:val="es-AR" w:eastAsia="es-AR" w:bidi="es-AR"/>
        </w:rPr>
      </w:pPr>
      <w:r>
        <w:rPr>
          <w:b/>
          <w:color w:val="000000"/>
          <w:sz w:val="18"/>
          <w:lang w:val="es-AR" w:eastAsia="es-AR" w:bidi="es-AR"/>
        </w:rPr>
        <w:t xml:space="preserve">                 Juez</w:t>
      </w:r>
    </w:p>
    <w:p>
      <w:pPr>
        <w:pStyle w:val="[Normal]"/>
        <w:jc w:val="both"/>
        <w:rPr>
          <w:b/>
          <w:color w:val="000000"/>
          <w:sz w:val="18"/>
          <w:lang w:val="es-AR" w:eastAsia="es-AR" w:bidi="es-AR"/>
        </w:rPr>
      </w:pPr>
      <w:r>
        <w:rPr>
          <w:b/>
          <w:color w:val="000000"/>
          <w:sz w:val="18"/>
          <w:lang w:val="es-AR" w:eastAsia="es-AR" w:bidi="es-AR"/>
        </w:rPr>
        <w:t xml:space="preserve">                                                                                                       </w:t>
      </w:r>
    </w:p>
    <w:p>
      <w:pPr>
        <w:pStyle w:val="[Normal]"/>
        <w:rPr>
          <w:b/>
          <w:color w:val="000000"/>
          <w:sz w:val="18"/>
          <w:lang w:val="es-AR" w:eastAsia="es-AR" w:bidi="es-AR"/>
        </w:rPr>
      </w:pPr>
      <w:r>
        <w:rPr>
          <w:b/>
          <w:color w:val="000000"/>
          <w:sz w:val="18"/>
          <w:lang w:val="es-AR" w:eastAsia="es-AR" w:bidi="es-AR"/>
        </w:rPr>
        <w:t xml:space="preserve">                                                                          Stella Maris Albani                                                                                                                                              Secretaria</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