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b/>
          <w:lang w:val="es-AR" w:eastAsia="es-AR" w:bidi="es-AR"/>
        </w:rPr>
        <w:t xml:space="preserve">	Registro N°  170  /</w:t>
      </w:r>
      <w:r>
        <w:rPr>
          <w:b/>
          <w:color w:val="000000"/>
          <w:lang w:val="es-AR" w:eastAsia="es-AR" w:bidi="es-AR"/>
        </w:rPr>
        <w:t xml:space="preserve">2018</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800/804        </w:t>
      </w:r>
    </w:p>
    <w:p>
      <w:pPr>
        <w:pStyle w:val="[Normal]"/>
        <w:spacing w:line="360" w:lineRule="auto"/>
        <w:jc w:val="both"/>
        <w:rPr>
          <w:sz w:val="18"/>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13 de noviembre de </w:t>
      </w:r>
      <w:r>
        <w:rPr>
          <w:color w:val="000000"/>
          <w:lang w:val="es-AR" w:eastAsia="es-AR" w:bidi="es-AR"/>
        </w:rPr>
        <w:t xml:space="preserve">2018</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3409-18</w:t>
      </w:r>
      <w:r>
        <w:rPr>
          <w:lang w:val="es-AR" w:eastAsia="es-AR" w:bidi="es-AR"/>
        </w:rPr>
        <w:t xml:space="preserve"> caratulada </w:t>
      </w:r>
      <w:r>
        <w:rPr>
          <w:b/>
          <w:lang w:val="es-AR" w:eastAsia="es-AR" w:bidi="es-AR"/>
        </w:rPr>
        <w:t xml:space="preserve">"</w:t>
      </w:r>
      <w:r>
        <w:rPr>
          <w:b/>
          <w:color w:val="000000"/>
          <w:lang w:val="es-AR" w:eastAsia="es-AR" w:bidi="es-AR"/>
        </w:rPr>
        <w:t xml:space="preserve">MAGNONE GERARDO NESTOR C/ CAPRA DORIS Y OTROS  S/ ACCION REIVINDICATORIA</w:t>
      </w:r>
      <w:r>
        <w:rPr>
          <w:b/>
          <w:lang w:val="es-AR" w:eastAsia="es-AR" w:bidi="es-AR"/>
        </w:rPr>
        <w:t xml:space="preserve">"</w:t>
      </w:r>
      <w:r>
        <w:rPr>
          <w:lang w:val="es-AR" w:eastAsia="es-AR" w:bidi="es-AR"/>
        </w:rPr>
        <w:t xml:space="preserve">, Expte. </w:t>
      </w:r>
      <w:r>
        <w:rPr>
          <w:color w:val="000000"/>
          <w:lang w:val="es-AR" w:eastAsia="es-AR" w:bidi="es-AR"/>
        </w:rPr>
        <w:t xml:space="preserve">60.283</w:t>
      </w:r>
      <w:r>
        <w:rPr>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Dres. Graciela Scaraffia y Roberto Degleue, y estudiados los autos se resolvió plantear y votar las siguientes: </w:t>
      </w:r>
    </w:p>
    <w:p>
      <w:pPr>
        <w:pStyle w:val="[Normal]"/>
        <w:spacing w:line="48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480" w:lineRule="auto"/>
        <w:ind w:firstLine="1134"/>
        <w:jc w:val="both"/>
        <w:rPr>
          <w:lang w:val="es-AR" w:eastAsia="es-AR" w:bidi="es-AR"/>
        </w:rPr>
      </w:pPr>
      <w:r>
        <w:rPr>
          <w:lang w:val="es-AR" w:eastAsia="es-AR" w:bidi="es-AR"/>
        </w:rPr>
        <w:t xml:space="preserve">El Sr. Juez de la anterior instancia rechazó "in limine" la acción de prescripción adquisitiva deducida vía reconvencional por la parte demandada.  </w:t>
      </w:r>
    </w:p>
    <w:p>
      <w:pPr>
        <w:pStyle w:val="[Normal]"/>
        <w:spacing w:line="480" w:lineRule="auto"/>
        <w:ind w:firstLine="1134"/>
        <w:jc w:val="both"/>
        <w:rPr>
          <w:lang w:val="es-AR" w:eastAsia="es-AR" w:bidi="es-AR"/>
        </w:rPr>
      </w:pPr>
      <w:r>
        <w:rPr>
          <w:lang w:val="es-AR" w:eastAsia="es-AR" w:bidi="es-AR"/>
        </w:rPr>
        <w:t xml:space="preserve">Tal decisorio fue objeto del recurso de apelación interpuesto por la demandada a fs. 163/164.  A fs. 165 se concedió en relación y ambos efectos y se corrió traslado a la contraparte. </w:t>
      </w:r>
    </w:p>
    <w:p>
      <w:pPr>
        <w:pStyle w:val="[Normal]"/>
        <w:spacing w:line="480" w:lineRule="auto"/>
        <w:ind w:firstLine="1134"/>
        <w:jc w:val="both"/>
        <w:rPr>
          <w:lang w:val="es-AR" w:eastAsia="es-AR" w:bidi="es-AR"/>
        </w:rPr>
      </w:pPr>
      <w:r>
        <w:rPr>
          <w:lang w:val="es-AR" w:eastAsia="es-AR" w:bidi="es-AR"/>
        </w:rPr>
        <w:t xml:space="preserve">El apelante dirige el eje central de su crítica en que la resolución apelada fundó el rechazo de la pretensión reconvencional en la no presentación del plano firmado por profesional matriculado que determine el área, linderos y ubicación del inmueble, sin considerar en tal sentido que el tiempo de confección de dicho plano no se corresponde con el cumplimiento del paso procesal en cuestión y  que el mismo puede ser incorporado antes del dictado de la sentencia.</w:t>
      </w:r>
    </w:p>
    <w:p>
      <w:pPr>
        <w:pStyle w:val="[Normal]"/>
        <w:spacing w:line="480" w:lineRule="auto"/>
        <w:ind w:firstLine="1134"/>
        <w:jc w:val="both"/>
        <w:rPr>
          <w:lang w:val="es-AR" w:eastAsia="es-AR" w:bidi="es-AR"/>
        </w:rPr>
      </w:pPr>
      <w:r>
        <w:rPr>
          <w:lang w:val="es-AR" w:eastAsia="es-AR" w:bidi="es-AR"/>
        </w:rPr>
        <w:t xml:space="preserve">A fs. 166/167 es evacuado el traslado conferido.  A fs. 169 llamamiento de autos, providencia, que firme a la fecha deja la causa en condiciones de ser fallada. </w:t>
      </w:r>
    </w:p>
    <w:p>
      <w:pPr>
        <w:pStyle w:val="[Normal]"/>
        <w:spacing w:line="480" w:lineRule="auto"/>
        <w:ind w:firstLine="1134"/>
        <w:jc w:val="both"/>
        <w:rPr>
          <w:lang w:val="es-AR" w:eastAsia="es-AR" w:bidi="es-AR"/>
        </w:rPr>
      </w:pPr>
      <w:r>
        <w:rPr>
          <w:lang w:val="es-AR" w:eastAsia="es-AR" w:bidi="es-AR"/>
        </w:rPr>
        <w:t xml:space="preserve">Expuestos los antecedentes del caso, estoy en condiciones de proceder al tratamiento de los agravios materia del recurso interpuesto. </w:t>
      </w:r>
    </w:p>
    <w:p>
      <w:pPr>
        <w:pStyle w:val="[Normal]"/>
        <w:spacing w:line="480" w:lineRule="auto"/>
        <w:ind w:firstLine="1134"/>
        <w:jc w:val="both"/>
        <w:rPr>
          <w:lang w:val="es-AR" w:eastAsia="es-AR" w:bidi="es-AR"/>
        </w:rPr>
      </w:pPr>
      <w:r>
        <w:rPr>
          <w:lang w:val="es-AR" w:eastAsia="es-AR" w:bidi="es-AR"/>
        </w:rPr>
        <w:t xml:space="preserve">Entiendo que el quid de la cuestión apelada estriba en determinar si en el caso concreto cabe exigir la presentación del plano de mensura en el tiempo y la forma legal establecida como condición previa para dar curso a la acción intentada.</w:t>
      </w:r>
    </w:p>
    <w:p>
      <w:pPr>
        <w:pStyle w:val="[Normal]"/>
        <w:spacing w:line="480" w:lineRule="auto"/>
        <w:ind w:firstLine="1134"/>
        <w:jc w:val="both"/>
        <w:rPr>
          <w:lang w:val="es-AR" w:eastAsia="es-AR" w:bidi="es-AR"/>
        </w:rPr>
      </w:pPr>
      <w:r>
        <w:rPr>
          <w:lang w:val="es-AR" w:eastAsia="es-AR" w:bidi="es-AR"/>
        </w:rPr>
        <w:t xml:space="preserve">En virtud de ello corresponde acudir en primer término a las fuentes normativas que reglan directamente esta situación.  En tal sentido el art. 679 del CPC establece expresamente: "</w:t>
      </w:r>
      <w:r>
        <w:rPr>
          <w:i/>
          <w:lang w:val="es-AR" w:eastAsia="es-AR" w:bidi="es-AR"/>
        </w:rPr>
        <w:t xml:space="preserve">La demanda deberá acompañarse de (...) un plano firmado por profesional matriculado, que determine el área, linderos y ubicación del bien, el que será visado por el organismo técnico-administrativo, que corresponda"</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En forma concordante la ley catastral 14.159 ratifica la solución adoptado por el Código ritual, al disponer que: </w:t>
      </w:r>
      <w:r>
        <w:rPr>
          <w:i/>
          <w:lang w:val="es-AR" w:eastAsia="es-AR" w:bidi="es-AR"/>
        </w:rPr>
        <w:t xml:space="preserve">"En el juicio de adquisición del dominio de inmuebles por la posesión continuada de los mismos (art. 4015 y concordantes del Cód. Civil), se observarán las siguientes reglas: (...) b) Con la demanda se acompañará plano de mensura, suscripto por profesional autorizado y aprobado por la oficina técnica respectiva, si la hubiere en la jurisdicción"</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Cabe observar aquí el carácter imperativo de la norma.  El artículo aludido reza: </w:t>
      </w:r>
      <w:r>
        <w:rPr>
          <w:i/>
          <w:lang w:val="es-AR" w:eastAsia="es-AR" w:bidi="es-AR"/>
        </w:rPr>
        <w:t xml:space="preserve">"Se acompañará". </w:t>
      </w:r>
      <w:r>
        <w:rPr>
          <w:lang w:val="es-AR" w:eastAsia="es-AR" w:bidi="es-AR"/>
        </w:rPr>
        <w:t xml:space="preserve">Por lo que la interpretación literal de la letra de la ley resulta suficientemente clara como para descartar el carácter facultativo u opcional de la acreditación previa.  </w:t>
      </w:r>
      <w:r>
        <w:rPr>
          <w:rFonts w:ascii="arial" w:hAnsi="arial" w:eastAsia="arial" w:cs="arial"/>
          <w:lang w:val="es-AR" w:eastAsia="es-AR" w:bidi="es-AR"/>
        </w:rPr>
        <w:t xml:space="preserve">Al respecto, la Corte Nacional ha dicho que: </w:t>
      </w:r>
      <w:r>
        <w:rPr>
          <w:rFonts w:ascii="arial" w:hAnsi="arial" w:eastAsia="arial" w:cs="arial"/>
          <w:i/>
          <w:lang w:val="es-AR" w:eastAsia="es-AR" w:bidi="es-AR"/>
        </w:rPr>
        <w:t xml:space="preserve">"Si la ley emplea determinados términos la regla de interpretación más segura es la que esos términos no son superfluos, sino que han sido empleados con algún propósito, por cuanto, en definitiva, la misión de los jueces es dar pleno efecto a las normas vigentes sin sustituir al legislador ni juzgar sobre el mero acuerdo o conveniencia de disposiciones adoptadas por aquél en el ejercicio de facultades propias (...)" </w:t>
      </w:r>
      <w:r>
        <w:rPr>
          <w:rFonts w:ascii="arial" w:hAnsi="arial" w:eastAsia="arial" w:cs="arial"/>
          <w:lang w:val="es-AR" w:eastAsia="es-AR" w:bidi="es-AR"/>
        </w:rPr>
        <w:t xml:space="preserve">(CS, Dessy Gustavo G, 19/10/1995 - Fallos: 318:1894).</w:t>
      </w:r>
    </w:p>
    <w:p>
      <w:pPr>
        <w:pStyle w:val="[Normal]"/>
        <w:spacing w:line="480" w:lineRule="auto"/>
        <w:ind w:firstLine="1134"/>
        <w:jc w:val="both"/>
        <w:rPr>
          <w:lang w:val="es-AR" w:eastAsia="es-AR" w:bidi="es-AR"/>
        </w:rPr>
      </w:pPr>
      <w:r>
        <w:rPr>
          <w:lang w:val="es-AR" w:eastAsia="es-AR" w:bidi="es-AR"/>
        </w:rPr>
        <w:t xml:space="preserve">En cuanto a la naturaleza procesal de este recaudo, nótese además que ambas normas jurídicas lo regulan como un requisito de admisibilidad de la demanda.  En este aspecto es dable señalar que la pretensión es admisible cuando posibilita la averiguación de su contenido y por tanto la emisión de un pronunciamiento sobre el fondo del asunto sometido a la decisión del órgano judicial (LINO, Enrique Palacio, Derecho Procesal Civil, Tomo I, Buenos Aires, Ed. Abeledo Perrot, 2011, pág. 295 y ss).</w:t>
      </w:r>
    </w:p>
    <w:p>
      <w:pPr>
        <w:pStyle w:val="[Normal]"/>
        <w:spacing w:line="480" w:lineRule="auto"/>
        <w:ind w:firstLine="1134"/>
        <w:jc w:val="both"/>
        <w:rPr>
          <w:lang w:val="es-AR" w:eastAsia="es-AR" w:bidi="es-AR"/>
        </w:rPr>
      </w:pPr>
      <w:r>
        <w:rPr>
          <w:lang w:val="es-AR" w:eastAsia="es-AR" w:bidi="es-AR"/>
        </w:rPr>
        <w:t xml:space="preserve">Como consecuencia lógica de lo expuesto constituye una regla procesal básica que el examen de los requisitos de admisibilidad debe ser  previo al examen de la fundabilidad, y que un pronunciamiento negativo de la existencia de los primeros excluye </w:t>
      </w:r>
      <w:r>
        <w:rPr>
          <w:i/>
          <w:lang w:val="es-AR" w:eastAsia="es-AR" w:bidi="es-AR"/>
        </w:rPr>
        <w:t xml:space="preserve">sine die</w:t>
      </w:r>
      <w:r>
        <w:rPr>
          <w:lang w:val="es-AR" w:eastAsia="es-AR" w:bidi="es-AR"/>
        </w:rPr>
        <w:t xml:space="preserve"> la necesidad de dictar una sentencia negativa sobre el mérito de la pretensión.</w:t>
      </w:r>
    </w:p>
    <w:p>
      <w:pPr>
        <w:pStyle w:val="[Normal]"/>
        <w:spacing w:line="480" w:lineRule="auto"/>
        <w:ind w:firstLine="1134"/>
        <w:jc w:val="both"/>
        <w:rPr>
          <w:lang w:val="es-AR" w:eastAsia="es-AR" w:bidi="es-AR"/>
        </w:rPr>
      </w:pPr>
      <w:r>
        <w:rPr>
          <w:lang w:val="es-AR" w:eastAsia="es-AR" w:bidi="es-AR"/>
        </w:rPr>
        <w:t xml:space="preserve">Cabe aclarar en otro orden que el hecho de que la pretensión de usucapión del demandado haya sido deducida mediante reconvención en nada altera la sustancia de la solución aquí propuesta, por cuanto el ordenamiento adjetivo provincial consagra una equiparación formal absoluta entre la vía de la demanda y la vía de la reconvención (art. 355 del CPCC), justificándose la segunda únicamente en razones de economía y concentración procesal tendientes a no dividir la continencia de la causa cuando ella es conexa.</w:t>
      </w:r>
    </w:p>
    <w:p>
      <w:pPr>
        <w:pStyle w:val="[Normal]"/>
        <w:spacing w:line="480" w:lineRule="auto"/>
        <w:ind w:firstLine="1134"/>
        <w:jc w:val="both"/>
        <w:rPr>
          <w:lang w:val="es-AR" w:eastAsia="es-AR" w:bidi="es-AR"/>
        </w:rPr>
      </w:pPr>
      <w:r>
        <w:rPr>
          <w:lang w:val="es-AR" w:eastAsia="es-AR" w:bidi="es-AR"/>
        </w:rPr>
        <w:t xml:space="preserve">En referencia puntual al requisito de la presentación del plano de mensura y en línea con lo antedicho, Fenocchieto afirma categóricamente que su omisión torna inadmisible la pretensión y obsta a pronunciarse sobre su fundabilidad (FENOCHIETTO, Carlos Eduardo, Código Procesal Civil y Comercial, Buenos Aires, Editorial Astrea, 2009, pág. 721 y cf. C2°CCom de La Plata, sala I, "Caballero, Norberto y.o. c/ Castagno, Héctor A. y o s/ Prescripción adquisitiva", www.scba.gov.ar).</w:t>
      </w:r>
    </w:p>
    <w:p>
      <w:pPr>
        <w:pStyle w:val="[Normal]"/>
        <w:spacing w:line="480" w:lineRule="auto"/>
        <w:ind w:firstLine="1134"/>
        <w:jc w:val="both"/>
        <w:rPr>
          <w:lang w:val="es-AR" w:eastAsia="es-AR" w:bidi="es-AR"/>
        </w:rPr>
      </w:pPr>
      <w:r>
        <w:rPr>
          <w:lang w:val="es-AR" w:eastAsia="es-AR" w:bidi="es-AR"/>
        </w:rPr>
        <w:t xml:space="preserve">Con mayor rigor Gozaíni asevera que: </w:t>
      </w:r>
      <w:r>
        <w:rPr>
          <w:i/>
          <w:lang w:val="es-AR" w:eastAsia="es-AR" w:bidi="es-AR"/>
        </w:rPr>
        <w:t xml:space="preserve">"Si el instrumento no reúne los requisitos establecidos en el inc. d), del art. 24 de la ley 14.159 y, por ejemplo, no está firmado por profesional competente, ni visado por el correspondiente registro gráfico si existiere en la jurisdicción, se considera que falta una condición efectiva para demandar (...) más allá del carácter taxativo de los requisitos previstos en el art. 24 de la ley de catastro nacional, éstos son de orden público y, por ello, deben ser cumplidos"</w:t>
      </w:r>
      <w:r>
        <w:rPr>
          <w:lang w:val="es-AR" w:eastAsia="es-AR" w:bidi="es-AR"/>
        </w:rPr>
        <w:t xml:space="preserve"> (GOZAINI, Osvaldo Alfredo, Código Procesal Civil y Comercial de la Provincia de Buenos Aires, Comentado y anotado, Tomo II, Buenos Aires, Ed. La Ley, pág. 539-540).</w:t>
      </w:r>
    </w:p>
    <w:p>
      <w:pPr>
        <w:pStyle w:val="[Normal]"/>
        <w:spacing w:line="480" w:lineRule="auto"/>
        <w:ind w:firstLine="1134"/>
        <w:jc w:val="both"/>
        <w:rPr>
          <w:lang w:val="es-AR" w:eastAsia="es-AR" w:bidi="es-AR"/>
        </w:rPr>
      </w:pPr>
      <w:r>
        <w:rPr>
          <w:lang w:val="es-AR" w:eastAsia="es-AR" w:bidi="es-AR"/>
        </w:rPr>
        <w:t xml:space="preserve">Desde una interpretación finalista de la norma, cabe referir que la función del plano de mensura apunta precisamente a individualizar geográfica y geométricamente el bien objeto de la usucapión, por lo que su cumplimiento no trasunta un mero recaudo formal, sino que se relaciona directamente con el contenido jurídico material de la pretensión del usucapiente.</w:t>
      </w:r>
    </w:p>
    <w:p>
      <w:pPr>
        <w:pStyle w:val="[Normal]"/>
        <w:spacing w:line="480" w:lineRule="auto"/>
        <w:ind w:firstLine="1134"/>
        <w:jc w:val="both"/>
        <w:rPr>
          <w:lang w:val="es-AR" w:eastAsia="es-AR" w:bidi="es-AR"/>
        </w:rPr>
      </w:pPr>
      <w:r>
        <w:rPr>
          <w:lang w:val="es-AR" w:eastAsia="es-AR" w:bidi="es-AR"/>
        </w:rPr>
        <w:t xml:space="preserve">La jurisprudencia de la SCJBA ha adherido sistemáticamente a la interpretación legal expuesta </w:t>
      </w:r>
      <w:r>
        <w:rPr>
          <w:i/>
          <w:lang w:val="es-AR" w:eastAsia="es-AR" w:bidi="es-AR"/>
        </w:rPr>
        <w:t xml:space="preserve">ut supra</w:t>
      </w:r>
      <w:r>
        <w:rPr>
          <w:lang w:val="es-AR" w:eastAsia="es-AR" w:bidi="es-AR"/>
        </w:rPr>
        <w:t xml:space="preserve">.  En la causa </w:t>
      </w:r>
      <w:r>
        <w:rPr>
          <w:i/>
          <w:lang w:val="es-AR" w:eastAsia="es-AR" w:bidi="es-AR"/>
        </w:rPr>
        <w:t xml:space="preserve">"Méndez Varela"</w:t>
      </w:r>
      <w:r>
        <w:rPr>
          <w:lang w:val="es-AR" w:eastAsia="es-AR" w:bidi="es-AR"/>
        </w:rPr>
        <w:t xml:space="preserve">, confirmó lo dicho por la Sala I de la Cámara de Apelaciones de La Plata en cuanto que: </w:t>
      </w:r>
      <w:r>
        <w:rPr>
          <w:i/>
          <w:lang w:val="es-AR" w:eastAsia="es-AR" w:bidi="es-AR"/>
        </w:rPr>
        <w:t xml:space="preserve">"...la obligación de adjuntar el plano de mensura en las condiciones que estipula la norma tampoco podía ser obviado pues el mismo se torna indispensable para determinar la extensión poseída y su ubicación perfecta, desde que el requisito de su acompañamiento ab initio hace a la precisa individualización del inmueble</w:t>
      </w:r>
      <w:r>
        <w:rPr>
          <w:lang w:val="es-AR" w:eastAsia="es-AR" w:bidi="es-AR"/>
        </w:rPr>
        <w:t xml:space="preserve"> (...)".  En relación a ello, agregó que: "</w:t>
      </w:r>
      <w:r>
        <w:rPr>
          <w:i/>
          <w:lang w:val="es-AR" w:eastAsia="es-AR" w:bidi="es-AR"/>
        </w:rPr>
        <w:t xml:space="preserve">Tales fundamentaciones no fueron idóneamente cuestionadas por el recurrente quien se limitó sustancialmente a denunciar el excesivo rigorismo de la Cámara al restarle eficacia a las demás probanzas que acompañara..."</w:t>
      </w:r>
      <w:r>
        <w:rPr>
          <w:lang w:val="es-AR" w:eastAsia="es-AR" w:bidi="es-AR"/>
        </w:rPr>
        <w:t xml:space="preserve"> (causa Ac. 65.540, </w:t>
      </w:r>
      <w:r>
        <w:rPr>
          <w:i/>
          <w:lang w:val="es-AR" w:eastAsia="es-AR" w:bidi="es-AR"/>
        </w:rPr>
        <w:t xml:space="preserve">"Méndez Varela de García Costa, María Carmen y otros contra Barbosa Piñeiro, Catalina. Usucapión"</w:t>
      </w:r>
      <w:r>
        <w:rPr>
          <w:lang w:val="es-AR" w:eastAsia="es-AR" w:bidi="es-AR"/>
        </w:rPr>
        <w:t xml:space="preserve">, 1/12/1998).</w:t>
      </w:r>
    </w:p>
    <w:p>
      <w:pPr>
        <w:pStyle w:val="[Normal]"/>
        <w:spacing w:line="480" w:lineRule="auto"/>
        <w:ind w:firstLine="1134"/>
        <w:jc w:val="both"/>
        <w:rPr>
          <w:lang w:val="es-AR" w:eastAsia="es-AR" w:bidi="es-AR"/>
        </w:rPr>
      </w:pPr>
      <w:r>
        <w:rPr>
          <w:lang w:val="es-AR" w:eastAsia="es-AR" w:bidi="es-AR"/>
        </w:rPr>
        <w:t xml:space="preserve">De la transcripción precedente se desprende que el Máximo Tribunal bonaerense no sólo avaló la necesidad de presentación del plano de mensura en la demanda interpuesta, sino que además dejó en claro que la desestimación de otras probanzas para suplir y acreditar este requisito no constituía un excesivo rigorismo con virtualidad suficiente para invalidar la decisión apelada.</w:t>
      </w:r>
    </w:p>
    <w:p>
      <w:pPr>
        <w:pStyle w:val="[Normal]"/>
        <w:spacing w:line="480" w:lineRule="auto"/>
        <w:ind w:firstLine="1134"/>
        <w:jc w:val="both"/>
        <w:rPr>
          <w:lang w:val="es-AR" w:eastAsia="es-AR" w:bidi="es-AR"/>
        </w:rPr>
      </w:pPr>
      <w:r>
        <w:rPr>
          <w:lang w:val="es-AR" w:eastAsia="es-AR" w:bidi="es-AR"/>
        </w:rPr>
        <w:t xml:space="preserve">En la causa </w:t>
      </w:r>
      <w:r>
        <w:rPr>
          <w:i/>
          <w:lang w:val="es-AR" w:eastAsia="es-AR" w:bidi="es-AR"/>
        </w:rPr>
        <w:t xml:space="preserve">"Alsua c Municipalidad de Laprida"</w:t>
      </w:r>
      <w:r>
        <w:rPr>
          <w:lang w:val="es-AR" w:eastAsia="es-AR" w:bidi="es-AR"/>
        </w:rPr>
        <w:t xml:space="preserve">, el Máximo Tribunal provincial sentó como doctrina legal propia que el plano de mensura es un requisito especial que condiciona el ejercicio de la acción de usucapión: </w:t>
      </w:r>
      <w:r>
        <w:rPr>
          <w:i/>
          <w:lang w:val="es-AR" w:eastAsia="es-AR" w:bidi="es-AR"/>
        </w:rPr>
        <w:t xml:space="preserve">"La importancia de la cuestión exige recordar, que para el ejercicio de la acción, además de los requisitos comunes a toda demanda, tanto la ley 14.159 como el Código Procesal Civil y Comercial exigen que se acompañen dos documentos específicos: el certificado que acredite la titularidad del dominio y el plano de mensura (conf. Ac. 65.540, sent. del 1-XII-1998 en "Acuerdos y Sentencias", 1998-VI-262)"</w:t>
      </w:r>
      <w:r>
        <w:rPr>
          <w:lang w:val="es-AR" w:eastAsia="es-AR" w:bidi="es-AR"/>
        </w:rPr>
        <w:t xml:space="preserve"> (causa C. 98.183, "Alsua o Alsua y Grisetti, Celina Juana y otros contra Municipalidad de Laprida. Usucapión. Nulidad de título", 11 de Noviembre de 2009).</w:t>
      </w:r>
    </w:p>
    <w:p>
      <w:pPr>
        <w:pStyle w:val="[Normal]"/>
        <w:spacing w:line="480" w:lineRule="auto"/>
        <w:ind w:firstLine="1134"/>
        <w:jc w:val="both"/>
        <w:rPr>
          <w:lang w:val="es-AR" w:eastAsia="es-AR" w:bidi="es-AR"/>
        </w:rPr>
      </w:pPr>
      <w:r>
        <w:rPr>
          <w:lang w:val="es-AR" w:eastAsia="es-AR" w:bidi="es-AR"/>
        </w:rPr>
        <w:t xml:space="preserve">A diferencia del precedente anteriormente reseñado, la Corte no se limitó a mantener lo dicho por las instancias judiciales inferiores al amparo de una expresión de agravios insuficiente, sino que directa y expresamente postuló a la presentación del plano de mensura como un requisito previo de la acción de usucapión.</w:t>
      </w:r>
    </w:p>
    <w:p>
      <w:pPr>
        <w:pStyle w:val="[Normal]"/>
        <w:spacing w:line="480" w:lineRule="auto"/>
        <w:ind w:firstLine="1134"/>
        <w:jc w:val="both"/>
        <w:rPr>
          <w:lang w:val="es-AR" w:eastAsia="es-AR" w:bidi="es-AR"/>
        </w:rPr>
      </w:pPr>
      <w:r>
        <w:rPr>
          <w:lang w:val="es-AR" w:eastAsia="es-AR" w:bidi="es-AR"/>
        </w:rPr>
        <w:t xml:space="preserve">Y finalmente, en la reciente causa </w:t>
      </w:r>
      <w:r>
        <w:rPr>
          <w:i/>
          <w:lang w:val="es-AR" w:eastAsia="es-AR" w:bidi="es-AR"/>
        </w:rPr>
        <w:t xml:space="preserve">"Yacht Club Argentino c Municipalidad de San Fernando", </w:t>
      </w:r>
      <w:r>
        <w:rPr>
          <w:lang w:val="es-AR" w:eastAsia="es-AR" w:bidi="es-AR"/>
        </w:rPr>
        <w:t xml:space="preserve">que fuere oportunamente citada por el Juez de grado, la Corte Provincial ratificó este criterio: </w:t>
      </w:r>
      <w:r>
        <w:rPr>
          <w:i/>
          <w:lang w:val="es-AR" w:eastAsia="es-AR" w:bidi="es-AR"/>
        </w:rPr>
        <w:t xml:space="preserve">"(...) este Tribunal ha indicado (Ac. 65.540, "Méndez Varela de García", sent. de 1-XII-1998) que el plano de mensura resulta un requisito indispensable para el progreso de la acción de la prescripción adquisitiva.  El mismo debe reflejar medidas, linderos y superficies, de una manera gráfica y cierta (Morello, Augusto M., El proceso de usucapión, Abeledo Perrot, Buenos Aires, 1960, pág. 51).  La coincidencia física entre lo reflejado en el plano que se presente y la realidad es una condición indispensable.  Pero ella a su vez resulta de aun mayor trascendencia cuando, a partir de tales circunstancias físicas pueden derivarse efectos jurídicos trascendentales tales como la posibilidad de que deban deslindarse o referirse superficies del dominio público del estado tal como cursos o espejos de aguas navegables"</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En el fallo precitado el Máximo Tribunal provincial, además de sostener la línea jurisprudencial de "Méndez" y "Alsua", se explayó sobre los fundamentos que avalan la necesidad de acompañar el plano de mensura al momento de la demanda, y planteó dicha presentación como una condición procesal para el adecuado tratamiento de la pretensión de usucapión.</w:t>
      </w:r>
    </w:p>
    <w:p>
      <w:pPr>
        <w:pStyle w:val="[Normal]"/>
        <w:spacing w:line="480" w:lineRule="auto"/>
        <w:ind w:firstLine="1134"/>
        <w:jc w:val="both"/>
        <w:rPr>
          <w:lang w:val="es-AR" w:eastAsia="es-AR" w:bidi="es-AR"/>
        </w:rPr>
      </w:pPr>
      <w:r>
        <w:rPr>
          <w:lang w:val="es-AR" w:eastAsia="es-AR" w:bidi="es-AR"/>
        </w:rPr>
        <w:t xml:space="preserve">En contrapunto a lo expuesto el demandado se limitó a citar un fallo de la Cámara de Apelaciones del Departamento Judicial de San Nicolás que, independientemente de su menor grado de vinculatoriedad en virtud de la distinta jerarquía de los órganos judiciales en cuestión, no se adecua a las propiedades relevantes del presente caso por cuanto allí el actor había acompañado en el escrito de demanda documentación idónea que posibilitaba la determinación en forma concreta, fehaciente e indubitada de las medidas y superficies detalladas.  En cambio en la especie la parte reconviniente ofrece producir tales probanzas en el devenir del proceso y no </w:t>
      </w:r>
      <w:r>
        <w:rPr>
          <w:i/>
          <w:lang w:val="es-AR" w:eastAsia="es-AR" w:bidi="es-AR"/>
        </w:rPr>
        <w:t xml:space="preserve">ad initio</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Finalmente no puedo soslayar que el apelante se limitó a sostener que la realización del plano de mensura podría llegar a los 12 meses, más no ofreció prueba que abonase la probabilidad del plazo alegado.  Ni siquiera acreditó en qué grado y medida la presunta dilación en la confección del plano de mensura le produciría, más allá de la genérica molestia de tener que esperar, una afectación sustancial a su derecho de defensa y a la tutela judicial efectiva (arts. 18, 75 inc. 22 de la CN y art. 8 de la CADDHH), que justificase a partir de una interpretación constitucional y convencional de la norma legal en ciernes una flexibilización respecto a la oportunidad procesal para acompañar el plano de mensura.</w:t>
      </w:r>
    </w:p>
    <w:p>
      <w:pPr>
        <w:pStyle w:val="[Normal]"/>
        <w:spacing w:line="480" w:lineRule="auto"/>
        <w:ind w:firstLine="1134"/>
        <w:jc w:val="both"/>
        <w:rPr>
          <w:lang w:val="es-AR" w:eastAsia="es-AR" w:bidi="es-AR"/>
        </w:rPr>
      </w:pPr>
      <w:r>
        <w:rPr>
          <w:lang w:val="es-AR" w:eastAsia="es-AR" w:bidi="es-AR"/>
        </w:rPr>
        <w:t xml:space="preserve">Cabe concluir en suma que en la exigibilidad del requisito cuestionado no sólo está en juego el valor "orden" en cuanto necesidad de respetar la dimensión temporal de los actos procesales para la buena marcha del proceso, sino además el derecho de defensa de la contraparte y la eficacia de la sentencia judicial a cuyo resguardo resulta aconsejable que los documentos relativos al objeto de la pretensión procesal estén disponibles desde la apertura del proceso judicial.  Ergo la exigencia de este recaudo en tiempo oportuno no puede reputarse un excesivo rigor formal, en tanto su cumplimiento coadyuva al resguardo de derechos, principios y valores tutelados por el ordenamiento jurídico globalmente considerado.</w:t>
      </w:r>
    </w:p>
    <w:p>
      <w:pPr>
        <w:pStyle w:val="[Normal]"/>
        <w:spacing w:line="480" w:lineRule="auto"/>
        <w:ind w:firstLine="1134"/>
        <w:jc w:val="both"/>
        <w:rPr>
          <w:lang w:val="es-AR" w:eastAsia="es-AR" w:bidi="es-AR"/>
        </w:rPr>
      </w:pPr>
      <w:r>
        <w:rPr>
          <w:lang w:val="es-AR" w:eastAsia="es-AR" w:bidi="es-AR"/>
        </w:rPr>
        <w:t xml:space="preserve">En virtud de lo expuesto entiendo que los argumentos esgrimidos por el Juez de Primera Instancia que fundamentan el rechazo </w:t>
      </w:r>
      <w:r>
        <w:rPr>
          <w:i/>
          <w:lang w:val="es-AR" w:eastAsia="es-AR" w:bidi="es-AR"/>
        </w:rPr>
        <w:t xml:space="preserve">in limine</w:t>
      </w:r>
      <w:r>
        <w:rPr>
          <w:lang w:val="es-AR" w:eastAsia="es-AR" w:bidi="es-AR"/>
        </w:rPr>
        <w:t xml:space="preserve"> de la pretensión reconvencional se mantienen incólumes.</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b/>
          <w:lang w:val="es-AR" w:eastAsia="es-AR" w:bidi="es-AR"/>
        </w:rPr>
      </w:pPr>
      <w:r>
        <w:rPr>
          <w:b/>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la señora Juez Graciela Scaraffía</w:t>
      </w:r>
      <w:r>
        <w:rPr>
          <w:color w:val="000000"/>
          <w:lang w:val="es-AR" w:eastAsia="es-AR" w:bidi="es-AR"/>
        </w:rPr>
        <w:t xml:space="preserve"> </w:t>
      </w:r>
      <w:r>
        <w:rPr>
          <w:lang w:val="es-AR" w:eastAsia="es-AR" w:bidi="es-AR"/>
        </w:rPr>
        <w:t xml:space="preserve">dijo: </w:t>
      </w:r>
    </w:p>
    <w:p>
      <w:pPr>
        <w:pStyle w:val="[Normal]"/>
        <w:spacing w:line="48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1) Desestimar el recurso de apelación deducido, y en consecuencia confirmar el decisorio atacado en cuanto fuera materia de agravio. </w:t>
      </w:r>
    </w:p>
    <w:p>
      <w:pPr>
        <w:pStyle w:val="[Normal]"/>
        <w:spacing w:line="48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A la misma cuestión el señor Juez Roberto Degleue</w:t>
      </w:r>
      <w:r>
        <w:rPr>
          <w:color w:val="000000"/>
          <w:lang w:val="es-AR" w:eastAsia="es-AR" w:bidi="es-AR"/>
        </w:rPr>
        <w:t xml:space="preserve"> </w:t>
      </w:r>
      <w:r>
        <w:rPr>
          <w:lang w:val="es-AR" w:eastAsia="es-AR" w:bidi="es-AR"/>
        </w:rPr>
        <w:t xml:space="preserve">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lang w:val="es-AR" w:eastAsia="es-AR" w:bidi="es-AR"/>
        </w:rPr>
      </w:pPr>
      <w:r>
        <w:rPr>
          <w:b/>
          <w:lang w:val="es-AR" w:eastAsia="es-AR" w:bidi="es-AR"/>
        </w:rPr>
        <w:t xml:space="preserve">S E N T E N C I A</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Desestimar el recurso de apelación deducido, y en consecuencia confirmar el decisorio atacado en cuanto fuera materia de agravio.</w:t>
      </w:r>
    </w:p>
    <w:p>
      <w:pPr>
        <w:pStyle w:val="[Normal]"/>
        <w:spacing w:line="480" w:lineRule="auto"/>
        <w:ind w:firstLine="1134"/>
        <w:jc w:val="both"/>
        <w:rPr>
          <w:lang w:val="es-AR" w:eastAsia="es-AR" w:bidi="es-AR"/>
        </w:rPr>
      </w:pPr>
      <w:r>
        <w:rPr>
          <w:lang w:val="es-AR" w:eastAsia="es-AR" w:bidi="es-AR"/>
        </w:rPr>
        <w:t xml:space="preserve">Regístrese. Notifíquese. Devuélvase.-</w:t>
      </w:r>
    </w:p>
    <w:p>
      <w:pPr>
        <w:pStyle w:val="[Normal]"/>
        <w:spacing w:line="480" w:lineRule="auto"/>
        <w:ind w:firstLine="1134"/>
        <w:jc w:val="both"/>
        <w:rPr>
          <w:lang w:val="es-AR" w:eastAsia="es-AR" w:bidi="es-AR"/>
        </w:rPr>
      </w:pPr>
    </w:p>
    <w:p>
      <w:pPr>
        <w:pStyle w:val="[Normal]"/>
        <w:ind w:firstLine="1134"/>
        <w:jc w:val="right"/>
        <w:rPr>
          <w:b/>
          <w:sz w:val="20"/>
          <w:lang w:val="es-AR" w:eastAsia="es-AR" w:bidi="es-AR"/>
        </w:rPr>
      </w:pPr>
      <w:r>
        <w:rPr>
          <w:b/>
          <w:sz w:val="20"/>
          <w:lang w:val="es-AR" w:eastAsia="es-AR" w:bidi="es-AR"/>
        </w:rPr>
        <w:t xml:space="preserve">Graciela SCARAFFIA</w:t>
      </w:r>
    </w:p>
    <w:p>
      <w:pPr>
        <w:pStyle w:val="[Normal]"/>
        <w:ind w:firstLine="1134"/>
        <w:jc w:val="right"/>
        <w:rPr>
          <w:b/>
          <w:sz w:val="20"/>
          <w:lang w:val="es-AR" w:eastAsia="es-AR" w:bidi="es-AR"/>
        </w:rPr>
      </w:pPr>
      <w:r>
        <w:rPr>
          <w:b/>
          <w:sz w:val="20"/>
          <w:lang w:val="es-AR" w:eastAsia="es-AR" w:bidi="es-AR"/>
        </w:rPr>
        <w:t xml:space="preserve">Presidente Excma. Cámara de</w:t>
      </w:r>
    </w:p>
    <w:p>
      <w:pPr>
        <w:pStyle w:val="[Normal]"/>
        <w:ind w:firstLine="1134"/>
        <w:jc w:val="right"/>
        <w:rPr>
          <w:b/>
          <w:sz w:val="20"/>
          <w:lang w:val="es-AR" w:eastAsia="es-AR" w:bidi="es-AR"/>
        </w:rPr>
      </w:pPr>
      <w:r>
        <w:rPr>
          <w:b/>
          <w:sz w:val="20"/>
          <w:lang w:val="es-AR" w:eastAsia="es-AR" w:bidi="es-AR"/>
        </w:rPr>
        <w:t xml:space="preserve">Apelación en lo Civil y Comercial </w:t>
      </w:r>
    </w:p>
    <w:p>
      <w:pPr>
        <w:pStyle w:val="[Normal]"/>
        <w:ind w:firstLine="1134"/>
        <w:jc w:val="right"/>
        <w:rPr>
          <w:b/>
          <w:sz w:val="20"/>
          <w:lang w:val="es-AR" w:eastAsia="es-AR" w:bidi="es-AR"/>
        </w:rPr>
      </w:pPr>
      <w:r>
        <w:rPr>
          <w:b/>
          <w:sz w:val="20"/>
          <w:lang w:val="es-AR" w:eastAsia="es-AR" w:bidi="es-AR"/>
        </w:rPr>
        <w:t xml:space="preserve">Dpto. Judicial Pergamino</w:t>
      </w:r>
    </w:p>
    <w:p>
      <w:pPr>
        <w:pStyle w:val="[Normal]"/>
        <w:spacing w:line="480" w:lineRule="auto"/>
        <w:ind w:firstLine="1134"/>
        <w:jc w:val="both"/>
        <w:rPr>
          <w:b/>
          <w:sz w:val="20"/>
          <w:lang w:val="es-AR" w:eastAsia="es-AR" w:bidi="es-AR"/>
        </w:rPr>
      </w:pPr>
    </w:p>
    <w:p>
      <w:pPr>
        <w:pStyle w:val="[Normal]"/>
        <w:ind w:firstLine="1134"/>
        <w:jc w:val="both"/>
        <w:rPr>
          <w:b/>
          <w:sz w:val="20"/>
          <w:lang w:val="es-AR" w:eastAsia="es-AR" w:bidi="es-AR"/>
        </w:rPr>
      </w:pPr>
      <w:r>
        <w:rPr>
          <w:b/>
          <w:sz w:val="20"/>
          <w:lang w:val="es-AR" w:eastAsia="es-AR" w:bidi="es-AR"/>
        </w:rPr>
        <w:t xml:space="preserve">Roberto Manuel DEGLEUE</w:t>
      </w:r>
    </w:p>
    <w:p>
      <w:pPr>
        <w:pStyle w:val="[Normal]"/>
        <w:ind w:firstLine="1134"/>
        <w:jc w:val="both"/>
        <w:rPr>
          <w:b/>
          <w:sz w:val="20"/>
          <w:lang w:val="es-AR" w:eastAsia="es-AR" w:bidi="es-AR"/>
        </w:rPr>
      </w:pPr>
      <w:r>
        <w:rPr>
          <w:b/>
          <w:sz w:val="20"/>
          <w:lang w:val="es-AR" w:eastAsia="es-AR" w:bidi="es-AR"/>
        </w:rPr>
        <w:t xml:space="preserve">           Juez</w:t>
      </w:r>
    </w:p>
    <w:p>
      <w:pPr>
        <w:pStyle w:val="[Normal]"/>
        <w:ind w:firstLine="1134"/>
        <w:jc w:val="both"/>
        <w:rPr>
          <w:b/>
          <w:sz w:val="20"/>
          <w:lang w:val="es-AR" w:eastAsia="es-AR" w:bidi="es-AR"/>
        </w:rPr>
      </w:pPr>
    </w:p>
    <w:p>
      <w:pPr>
        <w:pStyle w:val="[Normal]"/>
        <w:ind w:firstLine="1134"/>
        <w:jc w:val="center"/>
        <w:rPr>
          <w:b/>
          <w:sz w:val="20"/>
          <w:lang w:val="es-AR" w:eastAsia="es-AR" w:bidi="es-AR"/>
        </w:rPr>
      </w:pPr>
      <w:r>
        <w:rPr>
          <w:b/>
          <w:sz w:val="20"/>
          <w:lang w:val="es-AR" w:eastAsia="es-AR" w:bidi="es-AR"/>
        </w:rPr>
        <w:t xml:space="preserve">Adrian Oscar MOREA</w:t>
      </w:r>
    </w:p>
    <w:p>
      <w:pPr>
        <w:pStyle w:val="[Normal]"/>
        <w:ind w:firstLine="1134"/>
        <w:jc w:val="center"/>
        <w:rPr>
          <w:b/>
          <w:sz w:val="20"/>
          <w:lang w:val="es-AR" w:eastAsia="es-AR" w:bidi="es-AR"/>
        </w:rPr>
      </w:pPr>
      <w:r>
        <w:rPr>
          <w:b/>
          <w:sz w:val="20"/>
          <w:lang w:val="es-AR" w:eastAsia="es-AR" w:bidi="es-AR"/>
        </w:rPr>
        <w:t xml:space="preserve">Auxiliar Letrado</w:t>
      </w:r>
    </w:p>
    <w:sectPr>
      <w:headerReference w:type="default" r:id="rId00006"/>
      <w:footerReference w:type="default" r:id="rId00007"/>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p>
    <w:pPr>
      <w:pStyle w:val="[Normal]"/>
      <w:jc w:val="right"/>
      <w:rPr>
        <w:color w:val="000000"/>
        <w:lang w:val="es-AR" w:eastAsia="es-AR" w:bidi="es-AR"/>
      </w:rPr>
    </w:pPr>
    <w:r>
      <w:rPr>
        <w:color w:val="000000"/>
        <w:lang w:val="es-AR" w:eastAsia="es-AR" w:bidi="es-AR"/>
      </w:rPr>
      <w:t xml:space="preserve"> </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‰8^")è$LzÂYŠ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246202090004449097</w:t>
    </w:r>
    <w:r>
      <w:rPr>
        <w:color w:val="000000"/>
        <w:lang w:val="es-AR" w:eastAsia="es-AR" w:bidi="es-AR"/>
      </w:rPr>
      <w:t xml:space="preserve"> </w:t>
    </w:r>
  </w:p>
  <w:p>
    <w:pPr>
      <w:pStyle w:val="[Normal]"/>
      <w:jc w:val="both"/>
      <w:rPr>
        <w:color w:val="000000"/>
        <w:lang w:val="es-AR" w:eastAsia="es-AR" w:bidi="es-AR"/>
      </w:rPr>
    </w:pPr>
    <w:r>
      <w:rPr>
        <w:color w:val="000000"/>
        <w:lang w:val="es-AR" w:eastAsia="es-AR" w:bidi="es-AR"/>
      </w:rPr>
      <w:t xml:space="preserve">                   </w:t>
    </w:r>
    <w: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5"/>
                  <a:stretch>
                    <a:fillRect/>
                  </a:stretch>
                </pic:blipFill>
                <pic:spPr>
                  <a:xfrm>
                    <a:off x="0" y="0"/>
                    <a:ext cx="420370" cy="609600"/>
                  </a:xfrm>
                  <a:prstGeom prst="rect">
                    <a:avLst/>
                  </a:prstGeom>
                </pic:spPr>
              </pic:pic>
            </a:graphicData>
          </a:graphic>
        </wp:inline>
      </w:drawing>
    </w:r>
  </w:p>
  <w:p>
    <w:pPr>
      <w:pStyle w:val="[Normal]"/>
      <w:jc w:val="both"/>
      <w:rPr>
        <w:color w:val="000000"/>
        <w:lang w:val="es-AR" w:eastAsia="es-AR" w:bidi="es-AR"/>
      </w:rPr>
    </w:pPr>
    <w:r>
      <w:rPr>
        <w:color w:val="000000"/>
        <w:lang w:val="es-AR" w:eastAsia="es-AR" w:bidi="es-AR"/>
      </w:rPr>
      <w:t xml:space="preserve">PROVINCIA DE BUENOS AIRES</w:t>
    </w:r>
  </w:p>
  <w:p>
    <w:pPr>
      <w:pStyle w:val="[Normal]"/>
      <w:jc w:val="both"/>
      <w:rPr>
        <w:color w:val="000000"/>
        <w:lang w:val="es-AR" w:eastAsia="es-AR" w:bidi="es-AR"/>
      </w:rPr>
    </w:pPr>
    <w:r>
      <w:rPr>
        <w:color w:val="000000"/>
        <w:lang w:val="es-AR" w:eastAsia="es-AR" w:bidi="es-AR"/>
      </w:rPr>
      <w:t xml:space="preserve">              Poder Judicial </w:t>
    </w:r>
  </w:p>
  <w:p>
    <w:pPr>
      <w:pStyle w:val="[Normal]"/>
      <w:jc w:val="both"/>
      <w:rPr>
        <w:color w:val="000000"/>
        <w:lang w:val="es-AR" w:eastAsia="es-AR" w:bidi="es-AR"/>
      </w:rPr>
    </w:pPr>
  </w:p>
</w:hdr>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6" Type="http://schemas.openxmlformats.org/officeDocument/2006/relationships/header" Target="header0001.xml"/>
	<Relationship Id="rId00007" Type="http://schemas.openxmlformats.org/officeDocument/2006/relationships/footer" Target="footer0001.xml"/>
	<Relationship Id="rId00008" Type="http://schemas.openxmlformats.org/officeDocument/2006/relationships/fontTable" Target="fontTable.xml"/>
	<Relationship Id="rId00009" Type="http://schemas.openxmlformats.org/officeDocument/2006/relationships/settings" Target="settings.xml"/>
</Relationships>
</file>

<file path=word/_rels/header0001.xml.rels><?xml version="1.0" encoding="UTF-8" standalone="yes"?><Relationships xmlns="http://schemas.openxmlformats.org/package/2006/relationships">
	<Relationship Id="rId00005" Type="http://schemas.openxmlformats.org/officeDocument/2006/relationships/image" Target="media/image0001.wmf"/>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