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	Registro N°  172  /</w:t>
      </w:r>
      <w:r>
        <w:rPr>
          <w:b/>
          <w:color w:val="000000"/>
          <w:lang w:val="es-AR" w:eastAsia="es-AR" w:bidi="es-AR"/>
        </w:rPr>
        <w:t xml:space="preserve">2018</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811/815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20 de noviembre de </w:t>
      </w:r>
      <w:r>
        <w:rPr>
          <w:color w:val="000000"/>
          <w:lang w:val="es-AR" w:eastAsia="es-AR" w:bidi="es-AR"/>
        </w:rPr>
        <w:t xml:space="preserve">2018</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3387-18</w:t>
      </w:r>
      <w:r>
        <w:rPr>
          <w:lang w:val="es-AR" w:eastAsia="es-AR" w:bidi="es-AR"/>
        </w:rPr>
        <w:t xml:space="preserve"> caratulada </w:t>
      </w:r>
      <w:r>
        <w:rPr>
          <w:b/>
          <w:lang w:val="es-AR" w:eastAsia="es-AR" w:bidi="es-AR"/>
        </w:rPr>
        <w:t xml:space="preserve">"</w:t>
      </w:r>
      <w:r>
        <w:rPr>
          <w:b/>
          <w:color w:val="000000"/>
          <w:lang w:val="es-AR" w:eastAsia="es-AR" w:bidi="es-AR"/>
        </w:rPr>
        <w:t xml:space="preserve">ESPINOSA CARLOS RAUL Y OTROS  C/ APESTEGUIA MARCELO OSCAR Y OTROS  S/ DAÑOS Y PERJ.AUTOM. C/LES. O MUERTE (EXC.ESTADO)</w:t>
      </w:r>
      <w:r>
        <w:rPr>
          <w:b/>
          <w:lang w:val="es-AR" w:eastAsia="es-AR" w:bidi="es-AR"/>
        </w:rPr>
        <w:t xml:space="preserve">"</w:t>
      </w:r>
      <w:r>
        <w:rPr>
          <w:lang w:val="es-AR" w:eastAsia="es-AR" w:bidi="es-AR"/>
        </w:rPr>
        <w:t xml:space="preserve">, Expte. </w:t>
      </w:r>
      <w:r>
        <w:rPr>
          <w:color w:val="000000"/>
          <w:lang w:val="es-AR" w:eastAsia="es-AR" w:bidi="es-AR"/>
        </w:rPr>
        <w:t xml:space="preserve">59.604</w:t>
      </w:r>
      <w:r>
        <w:rPr>
          <w:color w:val="000000"/>
          <w:lang w:val="es-AR" w:eastAsia="es-AR" w:bidi="es-AR"/>
        </w:rPr>
        <w:t xml:space="preserve"> </w:t>
      </w:r>
      <w:r>
        <w:rPr>
          <w:lang w:val="es-AR" w:eastAsia="es-AR" w:bidi="es-AR"/>
        </w:rPr>
        <w:t xml:space="preserve">del Juzgado en lo Civil y Comercial N° 3, se practicó el sorteo de ley que determinó que la votación debía efectuarse en el siguiente orden: Dres. Graciela Scaraffia y Roberto Degleue, y estudiados los autos se resolvió plantear y votar las siguientes: </w:t>
      </w:r>
    </w:p>
    <w:p>
      <w:pPr>
        <w:pStyle w:val="[Normal]"/>
        <w:spacing w:line="48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la señora Jueza Graciela Scaraffia dijo: </w:t>
      </w:r>
    </w:p>
    <w:p>
      <w:pPr>
        <w:pStyle w:val="[Normal]"/>
        <w:spacing w:line="480" w:lineRule="auto"/>
        <w:ind w:firstLine="1134"/>
        <w:jc w:val="both"/>
        <w:rPr>
          <w:lang w:val="es-AR" w:eastAsia="es-AR" w:bidi="es-AR"/>
        </w:rPr>
      </w:pPr>
      <w:r>
        <w:rPr>
          <w:lang w:val="es-AR" w:eastAsia="es-AR" w:bidi="es-AR"/>
        </w:rPr>
        <w:t xml:space="preserve">El Sr. Juez de la anterior instancia rechazó la demanda instaurada por VANESA NOEMI CARDOZO contra MARCELO APESTEGUIA y LA HOLANDO SUDAMERICANA CIA. DE SEGUROS S. A.. Aplicó las costas a la actora que resulta vencida (Art. 68 del C.P.C.).  Reguló los honorarios profesionales para los Dres. MARIANA PORTELLA REAL y ANSELMO JULO NICOLAS CHAPUIS, en la suma de pesos QUINIENTOS OCHENTA Y SEIS con 29/100 centavos ($586,29), con más 0,54 jus (CINCUENTA Y CUATRO CENTESIMAS) y en la suma de pesos OCHOCIENTOS TREINTA Y SIETE con 50/100 centavos ($837,50), con más 0,78 jus (SETENTA Y OCHO CENTESIMAS), con más el 10% en concepto de aportes del Art. 12 Inc. "a" ley 6716 y el porcentaje de ley previsto para el IVA si correspondiere, a cargo de la parte obligada.</w:t>
      </w:r>
    </w:p>
    <w:p>
      <w:pPr>
        <w:pStyle w:val="[Normal]"/>
        <w:spacing w:line="480" w:lineRule="auto"/>
        <w:ind w:firstLine="1134"/>
        <w:jc w:val="both"/>
        <w:rPr>
          <w:lang w:val="es-AR" w:eastAsia="es-AR" w:bidi="es-AR"/>
        </w:rPr>
      </w:pPr>
      <w:r>
        <w:rPr>
          <w:lang w:val="es-AR" w:eastAsia="es-AR" w:bidi="es-AR"/>
        </w:rPr>
        <w:t xml:space="preserve">Hizo lugar a la demanda instaurada por RUBEN OMAR SANCHEZ, condenando en consecuencia a MARCELO APESTEGUIA y LA HOLANDO SUDAMERICANA CIA. DE SEGUROS S.A, a abonar al actor -dentro de los diez días de notificada la presente-, la suma de pesos TREINTA Y DOS MIL ($32.000), con más sus intereses calculados a partir de la fecha de la mora (26/09/2015), los que habrán de liquidarse "... según la tasa pasiva más alta fijada por el Banco Provincia de Buenos Aires en sus depósitos a treinta (30) días...".  Aplicó las costas a la parte demandada y a la citada en garantía, que resultan vencidas  Hizo lugar a la demanda instaurada por CARLOS RAUL ESPINOSA, condenando en consecuencia a MARCELO APESTEGUIA y LA HOLANDO SUDAMERICANA CIA. DE SEGUROS S.A, a abonar al actor -dentro de los diez días de notificada la presente-, la suma de pesos DOSCIENTOS SETENTA Y TRES MIL DOSCIENTOS SEIS con 79/100 centavos ($273.206,79), con más sus intereses calculados a partir de la fecha de la mora (26/09/2015), los que habrán de liquidarse "... según la tasa pasiva más alta fijada por el Banco Provincia de Buenos Aires en sus depósitos a treinta (30) días..."..  Difiriendo la regulación de honorarios de los letrados intervinientes y de los peritos, hasta que medie firme la respectiva liquidación de intereses y gastos.</w:t>
      </w:r>
    </w:p>
    <w:p>
      <w:pPr>
        <w:pStyle w:val="[Normal]"/>
        <w:spacing w:line="480" w:lineRule="auto"/>
        <w:ind w:firstLine="1134"/>
        <w:jc w:val="both"/>
        <w:rPr>
          <w:lang w:val="es-AR" w:eastAsia="es-AR" w:bidi="es-AR"/>
        </w:rPr>
      </w:pPr>
      <w:r>
        <w:rPr>
          <w:lang w:val="es-AR" w:eastAsia="es-AR" w:bidi="es-AR"/>
        </w:rPr>
        <w:t xml:space="preserve">Tal decisorio fue objeto de los recursos de apelación por la actora mediante el escrito electrónico de fecha 05/07/18 y la demandada y citada en garantía el 10/07/18, ambos concedidos libremente y en ambos efectos a fs. 132.  A fs. 135 se ordenó expresar agravios a la actora, el que fue presentado electrónicamente con fecha 29/08/18.  A fs. 136 se ordenó expresar agravios a la demandada y citada en garantía, declarándose desierto este último  a fs. 137.-  Y de los agravios expresados por la actora, se confirió traslado a la contraparte.  A Fs. 138 se tuvo por evacuado el traslado conferido y se llama de autos, providencia que firme a la fecha deja la causa en condiciones de ser fallada.</w:t>
      </w:r>
    </w:p>
    <w:p>
      <w:pPr>
        <w:pStyle w:val="[Normal]"/>
        <w:spacing w:line="480" w:lineRule="auto"/>
        <w:ind w:firstLine="1134"/>
        <w:jc w:val="both"/>
        <w:rPr>
          <w:lang w:val="es-AR" w:eastAsia="es-AR" w:bidi="es-AR"/>
        </w:rPr>
      </w:pPr>
      <w:r>
        <w:rPr>
          <w:lang w:val="es-AR" w:eastAsia="es-AR" w:bidi="es-AR"/>
        </w:rPr>
        <w:t xml:space="preserve">Los agravios de la apoderada de la parte actora se apontocan sobre distintos tópicos, a saber: a) la desestimación del daño material de la motocicleta que fuera peticionada por la propietaria y que el aquo ha denegado aludiendo a una insatisfacción probatoria de la peticionante.-</w:t>
      </w:r>
    </w:p>
    <w:p>
      <w:pPr>
        <w:pStyle w:val="[Normal]"/>
        <w:spacing w:line="480" w:lineRule="auto"/>
        <w:ind w:firstLine="1134"/>
        <w:jc w:val="both"/>
        <w:rPr>
          <w:lang w:val="es-AR" w:eastAsia="es-AR" w:bidi="es-AR"/>
        </w:rPr>
      </w:pPr>
      <w:r>
        <w:rPr>
          <w:lang w:val="es-AR" w:eastAsia="es-AR" w:bidi="es-AR"/>
        </w:rPr>
        <w:t xml:space="preserve">b) los parámetros de ponderación utilizados para determinar el monto de la incapacidad permanente los que considera exiguos, recurriendo a precedentes del fuero laboral y previsional.-</w:t>
      </w:r>
    </w:p>
    <w:p>
      <w:pPr>
        <w:pStyle w:val="[Normal]"/>
        <w:spacing w:line="480" w:lineRule="auto"/>
        <w:ind w:firstLine="1134"/>
        <w:jc w:val="both"/>
        <w:rPr>
          <w:lang w:val="es-AR" w:eastAsia="es-AR" w:bidi="es-AR"/>
        </w:rPr>
      </w:pPr>
      <w:r>
        <w:rPr>
          <w:lang w:val="es-AR" w:eastAsia="es-AR" w:bidi="es-AR"/>
        </w:rPr>
        <w:t xml:space="preserve">c) Se duele del importe fijado para las lesiones del coactor Sanchez y también del daño moral fijado para ambos accionantes.-</w:t>
      </w:r>
    </w:p>
    <w:p>
      <w:pPr>
        <w:pStyle w:val="[Normal]"/>
        <w:spacing w:line="480" w:lineRule="auto"/>
        <w:ind w:firstLine="1134"/>
        <w:jc w:val="both"/>
        <w:rPr>
          <w:lang w:val="es-AR" w:eastAsia="es-AR" w:bidi="es-AR"/>
        </w:rPr>
      </w:pPr>
      <w:r>
        <w:rPr>
          <w:lang w:val="es-AR" w:eastAsia="es-AR" w:bidi="es-AR"/>
        </w:rPr>
        <w:t xml:space="preserve">En el escrito de responde la parte demandada plantea la insuficiencia de los requisitos técnicos de los agravios presentados por la contraria que a su criterio no abastecen el art. 260 del CPCC.  Solicita la confirmación de la sentencia.-</w:t>
      </w:r>
    </w:p>
    <w:p>
      <w:pPr>
        <w:pStyle w:val="[Normal]"/>
        <w:spacing w:line="480" w:lineRule="auto"/>
        <w:ind w:firstLine="1134"/>
        <w:jc w:val="both"/>
        <w:rPr>
          <w:lang w:val="es-AR" w:eastAsia="es-AR" w:bidi="es-AR"/>
        </w:rPr>
      </w:pPr>
      <w:r>
        <w:rPr>
          <w:lang w:val="es-AR" w:eastAsia="es-AR" w:bidi="es-AR"/>
        </w:rPr>
        <w:t xml:space="preserve">Entrando a resolver las cuestiones propuestas he de referirme en primer término al rubro daño material y/o gastos de reparación que forma parte de un punto de las críticas traídas por la doliente.-</w:t>
      </w:r>
    </w:p>
    <w:p>
      <w:pPr>
        <w:pStyle w:val="[Normal]"/>
        <w:spacing w:line="480" w:lineRule="auto"/>
        <w:ind w:firstLine="1134"/>
        <w:jc w:val="both"/>
        <w:rPr>
          <w:lang w:val="es-AR" w:eastAsia="es-AR" w:bidi="es-AR"/>
        </w:rPr>
      </w:pPr>
      <w:r>
        <w:rPr>
          <w:lang w:val="es-AR" w:eastAsia="es-AR" w:bidi="es-AR"/>
        </w:rPr>
        <w:t xml:space="preserve">Ciertamente de diversas constancias de la Investigación Penal Preparatoria ingresada a este fuero mediante la instrumental, que se tornara prueba común de las partes, surgen acreditados los daños sufridos por la motocicleta a saber: testimonial de fs. 12 que da cuenta que la motocicleta presentó "espejo derecho roto, el guardabarro delantero roto y llanta delantera rota", concordante con las fotografías de fs. 28/29, informe preliminar accidentológico de 43 y ssg, elementos probatorios que fueron evaluados por el sentenciante de grado para concluír que el daño existió pero que no fue probado en su extensión, en tanto los presupuestos de reparación fueron desconocidos por la contraria.-</w:t>
      </w:r>
    </w:p>
    <w:p>
      <w:pPr>
        <w:pStyle w:val="[Normal]"/>
        <w:spacing w:line="480" w:lineRule="auto"/>
        <w:ind w:firstLine="1134"/>
        <w:jc w:val="both"/>
        <w:rPr>
          <w:lang w:val="es-AR" w:eastAsia="es-AR" w:bidi="es-AR"/>
        </w:rPr>
      </w:pPr>
      <w:r>
        <w:rPr>
          <w:lang w:val="es-AR" w:eastAsia="es-AR" w:bidi="es-AR"/>
        </w:rPr>
        <w:t xml:space="preserve">No comparto la solución dada, porque si bien el art. 1744 del CCYC no innova con respecto al Código de Velez en el sentido que le son aplicables las reglas propias del derecho procesal; también cierto es que debe evaluarse que la existencia del daño que ha sido acreditada por la peticionante, nada tiene que ver son su entidad económica.  Este segundo paso, puede ser determinado por el operador de acuerdo a las constancias probatorias arrimadas y a lo normado por el art. 165 del CPCC, que en su última parte establece que la sentencia fijará el importe del crédito o de los perjuicios reclamados, siempre que su existencia esté legalmente comprobada, aunque no resultare justificado su monto.-</w:t>
      </w:r>
    </w:p>
    <w:p>
      <w:pPr>
        <w:pStyle w:val="[Normal]"/>
        <w:spacing w:line="480" w:lineRule="auto"/>
        <w:ind w:firstLine="1134"/>
        <w:jc w:val="both"/>
        <w:rPr>
          <w:lang w:val="es-AR" w:eastAsia="es-AR" w:bidi="es-AR"/>
        </w:rPr>
      </w:pPr>
      <w:r>
        <w:rPr>
          <w:lang w:val="es-AR" w:eastAsia="es-AR" w:bidi="es-AR"/>
        </w:rPr>
        <w:t xml:space="preserve">Ello no implica una dispensa de la carga probatoria prevista en el art. 375 del CPCC sino conjugar la acreditación que ha realizado la solicitante con la cuantía que se fija conforme las pautas analizadas.-</w:t>
      </w:r>
    </w:p>
    <w:p>
      <w:pPr>
        <w:pStyle w:val="[Normal]"/>
        <w:spacing w:line="480" w:lineRule="auto"/>
        <w:ind w:firstLine="1134"/>
        <w:jc w:val="both"/>
        <w:rPr>
          <w:lang w:val="es-AR" w:eastAsia="es-AR" w:bidi="es-AR"/>
        </w:rPr>
      </w:pPr>
      <w:r>
        <w:rPr>
          <w:lang w:val="es-AR" w:eastAsia="es-AR" w:bidi="es-AR"/>
        </w:rPr>
        <w:t xml:space="preserve">El nuevo Código Civil Unificado aplicable en la especie por la fecha del hecho, brinda un concepto de daño en el art. 1737 señalándolo como la lesión a un derecho o un interés no reprobado por el ordenamiento jurídico, que tenga por objeto la persona, el patrimonio o un derecho de incidencia colectiva.-</w:t>
      </w:r>
    </w:p>
    <w:p>
      <w:pPr>
        <w:pStyle w:val="[Normal]"/>
        <w:spacing w:line="480" w:lineRule="auto"/>
        <w:ind w:firstLine="1134"/>
        <w:jc w:val="both"/>
        <w:rPr>
          <w:lang w:val="es-AR" w:eastAsia="es-AR" w:bidi="es-AR"/>
        </w:rPr>
      </w:pPr>
      <w:r>
        <w:rPr>
          <w:lang w:val="es-AR" w:eastAsia="es-AR" w:bidi="es-AR"/>
        </w:rPr>
        <w:t xml:space="preserve">Y mencionando el art. 1738 del CCyC que la indemnización comprende la disminución del patrimonio de la víctima y consagrando el art. 1740 del CCyC el principio de la reparación plena.-</w:t>
      </w:r>
    </w:p>
    <w:p>
      <w:pPr>
        <w:pStyle w:val="[Normal]"/>
        <w:spacing w:line="480" w:lineRule="auto"/>
        <w:ind w:firstLine="1134"/>
        <w:jc w:val="both"/>
        <w:rPr>
          <w:color w:val="000000"/>
          <w:lang w:val="es-AR" w:eastAsia="es-AR" w:bidi="es-AR"/>
        </w:rPr>
      </w:pPr>
      <w:r>
        <w:rPr>
          <w:color w:val="000000"/>
          <w:lang w:val="es-AR" w:eastAsia="es-AR" w:bidi="es-AR"/>
        </w:rPr>
        <w:t xml:space="preserve">Por lo que teniendo en cuenta dichos principios y el de razonabilidad en la tarea de ponderación prescripta por el art. 165 del CPCC, en la búsqueda de un criterio de reparación integral voy a hacer lugar a la queja fijando a favor de la propietaria el importe de gastos de reparación en la suma de $ 5.500 (art. 165, 384 CPCC y arts 1077 y 1083 del Cód. Civil).</w:t>
      </w:r>
    </w:p>
    <w:p>
      <w:pPr>
        <w:pStyle w:val="[Normal]"/>
        <w:spacing w:line="480" w:lineRule="auto"/>
        <w:ind w:firstLine="1134"/>
        <w:jc w:val="both"/>
        <w:rPr>
          <w:color w:val="000000"/>
          <w:lang w:val="es-AR" w:eastAsia="es-AR" w:bidi="es-AR"/>
        </w:rPr>
      </w:pPr>
      <w:r>
        <w:rPr>
          <w:color w:val="000000"/>
          <w:lang w:val="es-AR" w:eastAsia="es-AR" w:bidi="es-AR"/>
        </w:rPr>
        <w:t xml:space="preserve">También aquella que viene asentada sobre los importes de daño moral recibidos para Espinosa y Sanchez, considerando para determinar su aumento que el accidente de tránsito sufrido se tradujo en una mortificación de espíritu, en cuanto padecieron lesiones personales, más gravosas para el primero, y este rubro sin duda apunta a resarcir toda situación disvaliosa en el ámbito extrapatrimonial referidos al dolor, la angustia y la inquietud espiritual que sin duda el accidente provocara.-</w:t>
      </w:r>
    </w:p>
    <w:p>
      <w:pPr>
        <w:pStyle w:val="[Normal]"/>
        <w:spacing w:line="480" w:lineRule="auto"/>
        <w:ind w:firstLine="1134"/>
        <w:jc w:val="both"/>
        <w:rPr>
          <w:color w:val="000000"/>
          <w:lang w:val="es-AR" w:eastAsia="es-AR" w:bidi="es-AR"/>
        </w:rPr>
      </w:pPr>
      <w:r>
        <w:rPr>
          <w:color w:val="000000"/>
          <w:lang w:val="es-AR" w:eastAsia="es-AR" w:bidi="es-AR"/>
        </w:rPr>
        <w:t xml:space="preserve">Todo ello debe traducirse en una suma de dinero, y si bien no es fácil establecer su quantum, se acude a una cifra como respuesta al daño sufrido, dentro de los parámetros previstos por el art. 165 del CPCC y que contemplen sustitutivamente esa modificación disvaliosa, por lo que considerando estos aspectos propicio desde aquí elevar la suma del rubro para el codemandado Espinosa a PESOS SETENTA MIL ($ 70.000) y para Sanchez en PESOS VEINTICINCO MIL ($ 25.000).-</w:t>
      </w:r>
    </w:p>
    <w:p>
      <w:pPr>
        <w:pStyle w:val="[Normal]"/>
        <w:spacing w:line="480" w:lineRule="auto"/>
        <w:ind w:firstLine="1134"/>
        <w:jc w:val="both"/>
        <w:rPr>
          <w:color w:val="000000"/>
          <w:lang w:val="es-AR" w:eastAsia="es-AR" w:bidi="es-AR"/>
        </w:rPr>
      </w:pPr>
      <w:r>
        <w:rPr>
          <w:color w:val="000000"/>
          <w:lang w:val="es-AR" w:eastAsia="es-AR" w:bidi="es-AR"/>
        </w:rPr>
        <w:t xml:space="preserve">En cambio, no voy a admitir la queja que viene sustentada sobre los importes de incapacidad respecto de Espinosa y las lesiones padecidas por Sanchez, en tanto los argumentos traídos no alcanzan una crítica razonada sino más bien traducen un descontento subjetivo con lo decidido por el aquo, quien ha fundado certeramente el cálculo de incapacidad con los parámetros de ingreso variable probable en el que se ha explayado en sus considerandos, siendo insuficiente la queja para neutralizar la conclusión alcanzada (arts. 260, 261 y 1737, 1740, 1746 y ccs del CCyC).-</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b/>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Acoger parcialmente el recurso de apelación deducido por la parte actora, en consecuencia, admitir el rubro gastos de reparación en favor de Vanesa Noemí Cardozo en la suma de pesos cinco mil quinientos ($ 5.500), los que deberán ser soportados por la parte demandada, imponiendo las costas de primera y segunda instancia (art. 68 del CPCC).-</w:t>
      </w:r>
    </w:p>
    <w:p>
      <w:pPr>
        <w:pStyle w:val="[Normal]"/>
        <w:spacing w:line="480" w:lineRule="auto"/>
        <w:ind w:firstLine="1134"/>
        <w:jc w:val="both"/>
        <w:rPr>
          <w:lang w:val="es-AR" w:eastAsia="es-AR" w:bidi="es-AR"/>
        </w:rPr>
      </w:pPr>
      <w:r>
        <w:rPr>
          <w:lang w:val="es-AR" w:eastAsia="es-AR" w:bidi="es-AR"/>
        </w:rPr>
        <w:t xml:space="preserve">Asimismo hacer lugar al recurso de apelación en punto a los rubros daño moral para Carlos Raúl Espinosa y Rubén Omar Sanchez, elevando los importes a pesos setenta mil ($ 70.000) y pesos veinticinco mil ($ 25.000) respectivamente; confirmando en todo lo demás la sentencia de primera instancia.-</w:t>
      </w:r>
    </w:p>
    <w:p>
      <w:pPr>
        <w:pStyle w:val="[Normal]"/>
        <w:spacing w:line="480" w:lineRule="auto"/>
        <w:ind w:firstLine="1134"/>
        <w:jc w:val="both"/>
        <w:rPr>
          <w:lang w:val="es-AR" w:eastAsia="es-AR" w:bidi="es-AR"/>
        </w:rPr>
      </w:pPr>
      <w:r>
        <w:rPr>
          <w:lang w:val="es-AR" w:eastAsia="es-AR" w:bidi="es-AR"/>
        </w:rPr>
        <w:t xml:space="preserve">Costas de Alzada, a la parte demandada (art. 68 del CPCC).</w:t>
      </w:r>
    </w:p>
    <w:p>
      <w:pPr>
        <w:pStyle w:val="[Normal]"/>
        <w:spacing w:line="480" w:lineRule="auto"/>
        <w:ind w:firstLine="1134"/>
        <w:jc w:val="both"/>
        <w:rPr>
          <w:lang w:val="es-AR" w:eastAsia="es-AR" w:bidi="es-AR"/>
        </w:rPr>
      </w:pPr>
      <w:r>
        <w:rPr>
          <w:lang w:val="es-AR" w:eastAsia="es-AR" w:bidi="es-AR"/>
        </w:rPr>
        <w:t xml:space="preserve">Diferir la regulación de honorarios de los letrados intervinientes hasta tanto obre regulación de primera instancia.-</w:t>
      </w:r>
    </w:p>
    <w:p>
      <w:pPr>
        <w:pStyle w:val="[Normal]"/>
        <w:spacing w:line="480" w:lineRule="auto"/>
        <w:ind w:firstLine="1134"/>
        <w:jc w:val="both"/>
        <w:rPr>
          <w:lang w:val="es-AR" w:eastAsia="es-AR" w:bidi="es-AR"/>
        </w:rPr>
      </w:pPr>
      <w:r>
        <w:rPr>
          <w:b/>
          <w:lang w:val="es-AR" w:eastAsia="es-AR" w:bidi="es-AR"/>
        </w:rPr>
        <w:t xml:space="preserve">ASI LO VOTO</w:t>
      </w:r>
      <w:r>
        <w:rPr>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Acoger parcialmente el recurso de apelación deducido por la parte actora, en consecuencia, admitiendo el rubro gastos de reparación en favor de Vanesa Noemí Cardozo en la suma de pesos cinco mil quinientos ($ 5.500), los que deberán ser soportados por la parte demandada, imponiendo las costas de primera y segunda instancia (art. 68 del CPCC).-</w:t>
      </w:r>
    </w:p>
    <w:p>
      <w:pPr>
        <w:pStyle w:val="[Normal]"/>
        <w:spacing w:line="480" w:lineRule="auto"/>
        <w:ind w:firstLine="1134"/>
        <w:jc w:val="both"/>
        <w:rPr>
          <w:lang w:val="es-AR" w:eastAsia="es-AR" w:bidi="es-AR"/>
        </w:rPr>
      </w:pPr>
      <w:r>
        <w:rPr>
          <w:lang w:val="es-AR" w:eastAsia="es-AR" w:bidi="es-AR"/>
        </w:rPr>
        <w:t xml:space="preserve">Asimismo hacer lugar al recurso de apelación en punto a los rubros daño moral para Carlos Raúl Espinosa y Rubén Omar Sanchez, elevando los importes a pesos setenta mil ($ 70.000) y pesos veinticinco mil ($ 25.000) respectivamente; confirmando en todo lo demás la sentencia de primera instancia.</w:t>
      </w:r>
    </w:p>
    <w:p>
      <w:pPr>
        <w:pStyle w:val="[Normal]"/>
        <w:spacing w:line="480" w:lineRule="auto"/>
        <w:ind w:firstLine="1134"/>
        <w:jc w:val="both"/>
        <w:rPr>
          <w:lang w:val="es-AR" w:eastAsia="es-AR" w:bidi="es-AR"/>
        </w:rPr>
      </w:pPr>
      <w:r>
        <w:rPr>
          <w:lang w:val="es-AR" w:eastAsia="es-AR" w:bidi="es-AR"/>
        </w:rPr>
        <w:t xml:space="preserve">Diferir la regulación de honorarios de los letrados hasta tanto obre en autos la de primera instancia.-</w:t>
      </w:r>
    </w:p>
    <w:p>
      <w:pPr>
        <w:pStyle w:val="[Normal]"/>
        <w:spacing w:line="480" w:lineRule="auto"/>
        <w:ind w:firstLine="1134"/>
        <w:jc w:val="both"/>
        <w:rPr>
          <w:color w:val="000000"/>
          <w:lang w:val="es-AR" w:eastAsia="es-AR" w:bidi="es-AR"/>
        </w:rPr>
      </w:pPr>
      <w:r>
        <w:rPr>
          <w:lang w:val="es-AR" w:eastAsia="es-AR" w:bidi="es-AR"/>
        </w:rPr>
        <w:t xml:space="preserve">Regístrese. Notifíquese. Devuélvase.-</w:t>
      </w:r>
    </w:p>
    <w:p>
      <w:pPr>
        <w:pStyle w:val="[Normal]"/>
        <w:spacing w:line="480" w:lineRule="auto"/>
        <w:ind w:firstLine="1134"/>
        <w:jc w:val="both"/>
        <w:rPr>
          <w:color w:val="000000"/>
          <w:lang w:val="es-AR" w:eastAsia="es-AR" w:bidi="es-AR"/>
        </w:rPr>
      </w:pPr>
    </w:p>
    <w:p>
      <w:pPr>
        <w:pStyle w:val="[Normal]"/>
        <w:ind w:firstLine="1134"/>
        <w:jc w:val="center"/>
        <w:rPr>
          <w:b/>
          <w:color w:val="000000"/>
          <w:sz w:val="18"/>
          <w:lang w:val="es-AR" w:eastAsia="es-AR" w:bidi="es-AR"/>
        </w:rPr>
      </w:pPr>
      <w:r>
        <w:rPr>
          <w:b/>
          <w:color w:val="000000"/>
          <w:sz w:val="18"/>
          <w:lang w:val="es-AR" w:eastAsia="es-AR" w:bidi="es-AR"/>
        </w:rPr>
        <w:t xml:space="preserve">Graciela SCARAFFIA</w:t>
      </w:r>
    </w:p>
    <w:p>
      <w:pPr>
        <w:pStyle w:val="[Normal]"/>
        <w:ind w:firstLine="1134"/>
        <w:jc w:val="center"/>
        <w:rPr>
          <w:b/>
          <w:color w:val="000000"/>
          <w:sz w:val="18"/>
          <w:lang w:val="es-AR" w:eastAsia="es-AR" w:bidi="es-AR"/>
        </w:rPr>
      </w:pPr>
      <w:r>
        <w:rPr>
          <w:b/>
          <w:color w:val="000000"/>
          <w:sz w:val="18"/>
          <w:lang w:val="es-AR" w:eastAsia="es-AR" w:bidi="es-AR"/>
        </w:rPr>
        <w:t xml:space="preserve">Presidente Excma. Cámara de</w:t>
      </w:r>
    </w:p>
    <w:p>
      <w:pPr>
        <w:pStyle w:val="[Normal]"/>
        <w:ind w:firstLine="1134"/>
        <w:jc w:val="center"/>
        <w:rPr>
          <w:b/>
          <w:color w:val="000000"/>
          <w:sz w:val="18"/>
          <w:lang w:val="es-AR" w:eastAsia="es-AR" w:bidi="es-AR"/>
        </w:rPr>
      </w:pPr>
      <w:r>
        <w:rPr>
          <w:b/>
          <w:color w:val="000000"/>
          <w:sz w:val="18"/>
          <w:lang w:val="es-AR" w:eastAsia="es-AR" w:bidi="es-AR"/>
        </w:rPr>
        <w:t xml:space="preserve">Apelación en lo Civil y Comercial </w:t>
      </w:r>
    </w:p>
    <w:p>
      <w:pPr>
        <w:pStyle w:val="[Normal]"/>
        <w:ind w:firstLine="1134"/>
        <w:jc w:val="center"/>
        <w:rPr>
          <w:b/>
          <w:color w:val="000000"/>
          <w:sz w:val="18"/>
          <w:lang w:val="es-AR" w:eastAsia="es-AR" w:bidi="es-AR"/>
        </w:rPr>
      </w:pPr>
      <w:r>
        <w:rPr>
          <w:b/>
          <w:color w:val="000000"/>
          <w:sz w:val="18"/>
          <w:lang w:val="es-AR" w:eastAsia="es-AR" w:bidi="es-AR"/>
        </w:rPr>
        <w:t xml:space="preserve">Dpto. Judicial Pergamino</w:t>
      </w:r>
    </w:p>
    <w:p>
      <w:pPr>
        <w:pStyle w:val="[Normal]"/>
        <w:ind w:firstLine="1134"/>
        <w:jc w:val="center"/>
        <w:rPr>
          <w:b/>
          <w:color w:val="000000"/>
          <w:sz w:val="18"/>
          <w:lang w:val="es-AR" w:eastAsia="es-AR" w:bidi="es-AR"/>
        </w:rPr>
      </w:pPr>
    </w:p>
    <w:p>
      <w:pPr>
        <w:pStyle w:val="[Normal]"/>
        <w:ind w:firstLine="1134"/>
        <w:jc w:val="center"/>
        <w:rPr>
          <w:b/>
          <w:color w:val="000000"/>
          <w:sz w:val="18"/>
          <w:lang w:val="es-AR" w:eastAsia="es-AR" w:bidi="es-AR"/>
        </w:rPr>
      </w:pPr>
    </w:p>
    <w:p>
      <w:pPr>
        <w:pStyle w:val="[Normal]"/>
        <w:ind w:firstLine="1134"/>
        <w:rPr>
          <w:b/>
          <w:color w:val="000000"/>
          <w:sz w:val="18"/>
          <w:lang w:val="es-AR" w:eastAsia="es-AR" w:bidi="es-AR"/>
        </w:rPr>
      </w:pPr>
      <w:r>
        <w:rPr>
          <w:b/>
          <w:color w:val="000000"/>
          <w:sz w:val="18"/>
          <w:lang w:val="es-AR" w:eastAsia="es-AR" w:bidi="es-AR"/>
        </w:rPr>
        <w:t xml:space="preserve">Roberto Manuel DEGLEUE</w:t>
      </w:r>
    </w:p>
    <w:p>
      <w:pPr>
        <w:pStyle w:val="[Normal]"/>
        <w:ind w:firstLine="1134"/>
        <w:rPr>
          <w:b/>
          <w:color w:val="000000"/>
          <w:sz w:val="18"/>
          <w:lang w:val="es-AR" w:eastAsia="es-AR" w:bidi="es-AR"/>
        </w:rPr>
      </w:pPr>
      <w:r>
        <w:rPr>
          <w:b/>
          <w:color w:val="000000"/>
          <w:sz w:val="18"/>
          <w:lang w:val="es-AR" w:eastAsia="es-AR" w:bidi="es-AR"/>
        </w:rPr>
        <w:t xml:space="preserve">           Juez</w:t>
      </w:r>
    </w:p>
    <w:p>
      <w:pPr>
        <w:pStyle w:val="[Normal]"/>
        <w:ind w:firstLine="1134"/>
        <w:jc w:val="center"/>
        <w:rPr>
          <w:b/>
          <w:color w:val="000000"/>
          <w:sz w:val="18"/>
          <w:lang w:val="es-AR" w:eastAsia="es-AR" w:bidi="es-AR"/>
        </w:rPr>
      </w:pPr>
    </w:p>
    <w:p>
      <w:pPr>
        <w:pStyle w:val="[Normal]"/>
        <w:ind w:firstLine="1134"/>
        <w:jc w:val="center"/>
        <w:rPr>
          <w:b/>
          <w:color w:val="000000"/>
          <w:sz w:val="18"/>
          <w:lang w:val="es-AR" w:eastAsia="es-AR" w:bidi="es-AR"/>
        </w:rPr>
      </w:pPr>
    </w:p>
    <w:p>
      <w:pPr>
        <w:pStyle w:val="[Normal]"/>
        <w:ind w:firstLine="1134"/>
        <w:jc w:val="center"/>
        <w:rPr>
          <w:b/>
          <w:color w:val="000000"/>
          <w:sz w:val="18"/>
          <w:lang w:val="es-AR" w:eastAsia="es-AR" w:bidi="es-AR"/>
        </w:rPr>
      </w:pPr>
    </w:p>
    <w:p>
      <w:pPr>
        <w:pStyle w:val="[Normal]"/>
        <w:ind w:firstLine="1134"/>
        <w:jc w:val="center"/>
        <w:rPr>
          <w:b/>
          <w:color w:val="000000"/>
          <w:sz w:val="18"/>
          <w:lang w:val="es-AR" w:eastAsia="es-AR" w:bidi="es-AR"/>
        </w:rPr>
      </w:pPr>
      <w:r>
        <w:rPr>
          <w:b/>
          <w:color w:val="000000"/>
          <w:sz w:val="18"/>
          <w:lang w:val="es-AR" w:eastAsia="es-AR" w:bidi="es-AR"/>
        </w:rPr>
        <w:t xml:space="preserve">Nicolás MARTINEZ</w:t>
      </w:r>
    </w:p>
    <w:p>
      <w:pPr>
        <w:pStyle w:val="[Normal]"/>
        <w:ind w:firstLine="1134"/>
        <w:jc w:val="center"/>
        <w:rPr>
          <w:b/>
          <w:color w:val="000000"/>
          <w:sz w:val="18"/>
          <w:lang w:val="es-AR" w:eastAsia="es-AR" w:bidi="es-AR"/>
        </w:rPr>
      </w:pPr>
      <w:r>
        <w:rPr>
          <w:b/>
          <w:color w:val="000000"/>
          <w:sz w:val="18"/>
          <w:lang w:val="es-AR" w:eastAsia="es-AR" w:bidi="es-AR"/>
        </w:rPr>
        <w:t xml:space="preserve">Auxiliar Letrado</w:t>
      </w:r>
    </w:p>
    <w:p>
      <w:pPr>
        <w:pStyle w:val="[Normal]"/>
        <w:rPr>
          <w:b/>
          <w:color w:val="000000"/>
          <w:sz w:val="18"/>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