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4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16/20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08  de febrero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3461-18</w:t>
      </w:r>
      <w:r>
        <w:rPr>
          <w:lang w:val="es-AR" w:eastAsia="es-AR" w:bidi="es-AR"/>
        </w:rPr>
        <w:t xml:space="preserve"> caratulada </w:t>
      </w:r>
      <w:r>
        <w:rPr>
          <w:b/>
          <w:lang w:val="es-AR" w:eastAsia="es-AR" w:bidi="es-AR"/>
        </w:rPr>
        <w:t xml:space="preserve">"</w:t>
      </w:r>
      <w:r>
        <w:rPr>
          <w:b/>
          <w:color w:val="000000"/>
          <w:lang w:val="es-AR" w:eastAsia="es-AR" w:bidi="es-AR"/>
        </w:rPr>
        <w:t xml:space="preserve">ANDRIEUX ANALIA CECILIA  C/ POLOLA RAUL ERNESTO S/ALIMENTOS</w:t>
      </w:r>
      <w:r>
        <w:rPr>
          <w:b/>
          <w:lang w:val="es-AR" w:eastAsia="es-AR" w:bidi="es-AR"/>
        </w:rPr>
        <w:t xml:space="preserve">" </w:t>
      </w:r>
      <w:r>
        <w:rPr>
          <w:lang w:val="es-AR" w:eastAsia="es-AR" w:bidi="es-AR"/>
        </w:rPr>
        <w:t xml:space="preserve">, Expte. </w:t>
      </w:r>
      <w:r>
        <w:rPr>
          <w:color w:val="000000"/>
          <w:lang w:val="es-AR" w:eastAsia="es-AR" w:bidi="es-AR"/>
        </w:rPr>
        <w:t xml:space="preserve">3.428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Sr. Juez de la anterior instancia hizo</w:t>
      </w:r>
      <w:r>
        <w:rPr>
          <w:color w:val="000000"/>
          <w:lang w:val="es-AR" w:eastAsia="es-AR" w:bidi="es-AR"/>
        </w:rPr>
        <w:t xml:space="preserve"> lugar a la demanda interpuesta, fijando como cuota alimentaria definitiva que el Sr. POLOLA, RAUL ERNESTO DNI 18.347.082 debe abonar mensualmente a la Sra. ANDRIEUX, ANALIA CECILIA en favor de su hijo menor , la suma de Pesos Dos Mil Doscientos ($ 2.200.-), importe que deberá ser depositado en la cuenta de depósito judicial nº 517565/0 abierta en el Banco de la Pcia. de Bs. As. sucursal centro de Pergamino, del 1 al 10 de cada mes.  Estableció que la presente cuota alimentaria debe abonarse por mes adelantado y rige a partir de la fecha de interposición de la demanda - 25-11-15 -, a la que deberá deducirse la suma abonada por el alimentante en carácter de alimentos provisorios.  Hizo saber al Sr. Polola que a partir de la entrada en vigencia del nuevo Código Civil y Comercial las sumas debidas por alimentos por el incumplimiento en el plazo previsto devengarán una tasa de interés equivalente a la más alta que cobran los bancos a sus clientes, según las reglamentaciones del Banco Central (art. 552 C.C.C.).  Difirió la fijación de cuota suplementaria para atender las cuotas alimentarias atrasadas desde la fecha de interpuesta la demanda, hasta tanto obre en autos liquidación practicada por la actora en la que se descontará lo percibido provisoriamente por alimentos.  Impuso las costas al demandado perdidoso (art. 68 CPCC) y reguló los honorarios de los letrados intervinientes Dres. Adrián Martelotto y Norma Lopez Faura, por sus trabajos en autos en la suma de Pesos Un Mil ($ 1.000.-) y de Pesos Cuatro Mil Quinientos ($ 4.500.-) respectivamente aplicándose las pautas regulatorias que al efecto preveen los arts. 14/16,  21, 39 del Dec. ley 8904/77, el cual si bien recientemente ha sido derogado por la ley 14.967 aún debe continuar aplicándose a las regulaciones de honorarios correspondientes a etapas que han sido cumplidas durante su vigencia (art. 61 de la ley 14.967 texto según art. 1 del Dec. 522/2017)-  En este sentido la SCBA recientemente ha dicho que; "Corresponde dejar establecido que a los fines de la regulación de honorarios en este caso, en el que los trabajos se realizaron estando en vigor el decreto 8904/1977, habrán de utilizarse las pautas y la unidad arancelaria (jus) allí instituida, cuyo quantum el Tribunal fijo mediante el Acuerdo N° 3871, dictado el día 25 de octubre del corriente.-" (SCBA, Morcillo Hugo Héctor c/ Provincia de Buenos Aires s/ Inconstitucionalidad Decreto ley 9020), con más aportes de ley (arts. 12 y 14 ley 6716, t.o. leyes 10268 y 11625 y dec. 4771/95).-</w:t>
      </w:r>
    </w:p>
    <w:p>
      <w:pPr>
        <w:pStyle w:val="[Normal]"/>
        <w:spacing w:line="480" w:lineRule="auto"/>
        <w:ind w:firstLine="1134"/>
        <w:jc w:val="both"/>
        <w:rPr>
          <w:lang w:val="es-AR" w:eastAsia="es-AR" w:bidi="es-AR"/>
        </w:rPr>
      </w:pPr>
      <w:r>
        <w:rPr>
          <w:lang w:val="es-AR" w:eastAsia="es-AR" w:bidi="es-AR"/>
        </w:rPr>
        <w:t xml:space="preserve">Tal decisorio, fue objeto del recurso de apelación, por la actora a fs. 260, concedido a fs. 261 en relación y con efecto devolutivo. A fs. 263/267 expresa agravios la actora.  A fs. 281 se ordenó el traslado a la contraria, el que es efectivizado a fs. 291/292, quien proclama la razonabilidad del importe.  A fs. 294 autos para resolver,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quejosa se duele de la cuantificación realizada por el sentenciante de grado, estimándola exigua, señalando que el importe fijado además de no guardar relación con otros casos allí fallados, tampoco guarda proporcionalidad con los mayores requerimientos que los adolescentes y jóvenes tienen como en el caso de autos, en que se trata de un menor de 17 años, edad en la que se desarrollan variadas actividades, práctica de deportes, salidas con amigos, mayores necesidades de alimentación y vestimenta.-</w:t>
      </w:r>
    </w:p>
    <w:p>
      <w:pPr>
        <w:pStyle w:val="[Normal]"/>
        <w:spacing w:line="480" w:lineRule="auto"/>
        <w:ind w:firstLine="1134"/>
        <w:jc w:val="both"/>
        <w:rPr>
          <w:lang w:val="es-AR" w:eastAsia="es-AR" w:bidi="es-AR"/>
        </w:rPr>
      </w:pPr>
      <w:r>
        <w:rPr>
          <w:lang w:val="es-AR" w:eastAsia="es-AR" w:bidi="es-AR"/>
        </w:rPr>
        <w:t xml:space="preserve">Y si bien reconoce que no se acreditó una mejoría de fortuna en el prestador de la obligación, subraya que surge nítido el aumento de los gastos del beneficiario que cursa el ultimo año del colegio secundario, solicitando un aumento de cuota que alcance la suma de pesos siete mil ($7.000) como definitiva, variable que habilita el mayor importe.-</w:t>
      </w:r>
    </w:p>
    <w:p>
      <w:pPr>
        <w:pStyle w:val="[Normal]"/>
        <w:spacing w:line="480" w:lineRule="auto"/>
        <w:ind w:firstLine="1134"/>
        <w:jc w:val="both"/>
        <w:rPr>
          <w:lang w:val="es-AR" w:eastAsia="es-AR" w:bidi="es-AR"/>
        </w:rPr>
      </w:pPr>
      <w:r>
        <w:rPr>
          <w:lang w:val="es-AR" w:eastAsia="es-AR" w:bidi="es-AR"/>
        </w:rPr>
        <w:t xml:space="preserve">En el dictamen presentado por la Sra. Asesora de Incapaces a fs. 286/286 se da favorable acogida al reclamo de la accionante, motivando detalladamente la Representante Pupilar las razones por las cuales procede el aumento solicitado, los que tengo por reproducidos en punto a la economía procesal.-</w:t>
      </w:r>
    </w:p>
    <w:p>
      <w:pPr>
        <w:pStyle w:val="[Normal]"/>
        <w:spacing w:line="480" w:lineRule="auto"/>
        <w:ind w:firstLine="1134"/>
        <w:jc w:val="both"/>
        <w:rPr>
          <w:color w:val="000000"/>
          <w:lang w:val="es-AR" w:eastAsia="es-AR" w:bidi="es-AR"/>
        </w:rPr>
      </w:pPr>
      <w:r>
        <w:rPr>
          <w:color w:val="000000"/>
          <w:lang w:val="es-AR" w:eastAsia="es-AR" w:bidi="es-AR"/>
        </w:rPr>
        <w:t xml:space="preserve">Ya en tarea, liminarmente he de señalar que </w:t>
      </w:r>
      <w:r>
        <w:rPr>
          <w:lang w:val="es-AR" w:eastAsia="es-AR" w:bidi="es-AR"/>
        </w:rPr>
        <w:t xml:space="preserve">en el sub lite, resulta de aplicación el nuevo Código Civil y Comercial, toda vez que se trata de los efectos o consecuencias aún existentes y no consumados del derecho alimentario del menor.  Cabe aclarar por otra parte que, la nueva legislación no ha variado sustancialmente lo establecido  por el Código Civil (ref. por ley 23264), y ha recepcionado normativamente aquello que con fundamento en la doctrina y jurisprudencia este Tribunal venía resolviéndose</w:t>
      </w:r>
      <w:r>
        <w:rPr>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w:t>
      </w:r>
    </w:p>
    <w:p>
      <w:pPr>
        <w:pStyle w:val="[Normal]"/>
        <w:spacing w:line="480" w:lineRule="auto"/>
        <w:ind w:firstLine="1134"/>
        <w:jc w:val="both"/>
        <w:rPr>
          <w:color w:val="000000"/>
          <w:lang w:val="es-AR" w:eastAsia="es-AR" w:bidi="es-AR"/>
        </w:rPr>
      </w:pPr>
      <w:r>
        <w:rPr>
          <w:color w:val="000000"/>
          <w:lang w:val="es-AR" w:eastAsia="es-AR" w:bidi="es-AR"/>
        </w:rPr>
        <w:t xml:space="preserve">Las pautas para determinar el monto de la prestación alimentaria a que tiene derecho el menor parten del sistema de igualdad de padre y madre que establece la normativa fondal incidiendo en ello la situación económica de las partes, pues el deber de contribución de los padres al sostenimiento de los hijos comunes es en proporción a sus recursos (arts. 646, 648 y. 455 del Código Civil y Comercial).  </w:t>
      </w:r>
      <w:r>
        <w:rPr>
          <w:lang w:val="es-AR" w:eastAsia="es-AR" w:bidi="es-AR"/>
        </w:rPr>
        <w:t xml:space="preserve">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w:t>
      </w:r>
      <w:r>
        <w:rPr>
          <w:color w:val="000000"/>
          <w:lang w:val="es-AR" w:eastAsia="es-AR" w:bidi="es-AR"/>
        </w:rPr>
        <w:t xml:space="preserve"> de acuerdo al nivel socioeconómico que gozaba la familia durante la convivencia, la edad de los mismos al momento de fijarlos, así como la contribución que realiza el progenitor conviviente, a través del cuidado personal del menor (confr. causa Ac.101337del 12/11/08, arts. 265, 267 y 271 del C.C. derogado, y art. 646 del C.C.y C.).  </w:t>
      </w:r>
    </w:p>
    <w:p>
      <w:pPr>
        <w:pStyle w:val="[Normal]"/>
        <w:spacing w:line="480" w:lineRule="auto"/>
        <w:ind w:firstLine="1134"/>
        <w:jc w:val="both"/>
        <w:rPr>
          <w:lang w:val="es-AR" w:eastAsia="es-AR" w:bidi="es-AR"/>
        </w:rPr>
      </w:pPr>
      <w:r>
        <w:rPr>
          <w:lang w:val="es-AR" w:eastAsia="es-AR" w:bidi="es-AR"/>
        </w:rPr>
        <w:t xml:space="preserve">En la especie se ha demostrado que es la madre quien convive con el menor, solventa la vivienda, que no es propia sino que pertenece al abuelo materno, se ocupa de su cuidado personal, atiende sus necesidades básicas, y además es el sostén económico con su actividad de docente doble turno en el Jardín de Infantes Santa Julia, con un ingreso aproximado de $ 10.000 mencionado claramente por el informe ambiental agregado a fs. 245/246.-  De todo esto se desprende que la progenitora cumple acabadamente con la obligación impuesta por el nuevo artículo 658 del CCyC.-</w:t>
      </w:r>
    </w:p>
    <w:p>
      <w:pPr>
        <w:pStyle w:val="[Normal]"/>
        <w:spacing w:line="480" w:lineRule="auto"/>
        <w:ind w:firstLine="1134"/>
        <w:jc w:val="both"/>
        <w:rPr>
          <w:lang w:val="es-AR" w:eastAsia="es-AR" w:bidi="es-AR"/>
        </w:rPr>
      </w:pPr>
      <w:r>
        <w:rPr>
          <w:lang w:val="es-AR" w:eastAsia="es-AR" w:bidi="es-AR"/>
        </w:rPr>
        <w:t xml:space="preserve">De este dictamen también se desprenden elementos probatorios que permiten inferir la potencialidad del progenitor que debe aportar la cuota alimentaria que hoy se pide como definitiva, así la experta señala que Polola vive con sus padres en una vivienda de propiedad de los mismos, de lo que se infiere que no abona alquiler alguno, asimismo se chequea que el demandado se desempeña laboralmente como chófer de combis y pasajeros, con viajes de mediana y corta distancia, con horarios laborales amplios e ingresos inestables, que posee cobertura medica.-</w:t>
      </w:r>
    </w:p>
    <w:p>
      <w:pPr>
        <w:pStyle w:val="[Normal]"/>
        <w:spacing w:line="480" w:lineRule="auto"/>
        <w:ind w:firstLine="1134"/>
        <w:jc w:val="both"/>
        <w:rPr>
          <w:color w:val="000000"/>
          <w:lang w:val="es-AR" w:eastAsia="es-AR" w:bidi="es-AR"/>
        </w:rPr>
      </w:pPr>
      <w:r>
        <w:rPr>
          <w:color w:val="000000"/>
          <w:lang w:val="es-AR" w:eastAsia="es-AR" w:bidi="es-AR"/>
        </w:rPr>
        <w:t xml:space="preserve">La apreciación de los elementos probatorios, la selección de los mismos y la atribución de la jerarquía que les corresponde es facultad propia de los jueces de grado, quienes pueden sin incurrir en absurdo, inclinarse hacia unas y descartar otras, sin necesidad de expresar en la sentencia la valoración de todas (arts. 31 bis, ley 5.827, texto según ley 13.812 y 279, C.P.C.C.) (SCBA LP Rc 119965 I 01/07/2015, Rc 119606 I 24/06/2015, Rc 119777 I 03/06/2015, LP Rc 119696 I 06/05/2015, Rc 119401 I 26/03/2015, Rc 118911 I 04/02/2015, Rc 119089 I 10/12/2014, Rc 118800 I 02/07/2014, Rc 109856 I 06/06/2011, Rc 110698 I 01/06/2011) JUBA  B3901559).-</w:t>
      </w:r>
    </w:p>
    <w:p>
      <w:pPr>
        <w:pStyle w:val="[Normal]"/>
        <w:spacing w:line="480" w:lineRule="auto"/>
        <w:ind w:firstLine="1134"/>
        <w:jc w:val="both"/>
        <w:rPr>
          <w:color w:val="000000"/>
          <w:lang w:val="es-AR" w:eastAsia="es-AR" w:bidi="es-AR"/>
        </w:rPr>
      </w:pPr>
      <w:r>
        <w:rPr>
          <w:color w:val="000000"/>
          <w:lang w:val="es-AR" w:eastAsia="es-AR" w:bidi="es-AR"/>
        </w:rPr>
        <w:t xml:space="preserve">Las constancias de la causa también muestran que se fijó mediante resolución judicial a fs. 182/183 una cuota provisoria en favor del niño cuyo monto fue fijado por el operador en la suma de $ 1.500) en fecha 8 de febrero de 2017.-</w:t>
      </w:r>
    </w:p>
    <w:p>
      <w:pPr>
        <w:pStyle w:val="[Normal]"/>
        <w:spacing w:line="480" w:lineRule="auto"/>
        <w:ind w:firstLine="1134"/>
        <w:jc w:val="both"/>
        <w:rPr>
          <w:lang w:val="es-AR" w:eastAsia="es-AR" w:bidi="es-AR"/>
        </w:rPr>
      </w:pPr>
      <w:r>
        <w:rPr>
          <w:lang w:val="es-AR" w:eastAsia="es-AR" w:bidi="es-AR"/>
        </w:rPr>
        <w:t xml:space="preserve">Los antecedentes señalados cuyo respaldo probatorio obra en autos, muestran que a efectos de analizar la procedencia de la cuota definitiva, deberá tenerse en cuenta "...</w:t>
      </w:r>
      <w:r>
        <w:rPr>
          <w:i/>
          <w:lang w:val="es-AR" w:eastAsia="es-AR" w:bidi="es-AR"/>
        </w:rPr>
        <w:t xml:space="preserve">el lapso transcurrido desde la oportunidad en que se fijó hasta la actualidad a efectos de demostrar el cambio de las necesidades del menor en base a dos razones: a) la mayor edad del menor determina un aumento en los gastos referidos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 y b) el poder adquisitivo que no se mantiene incólume en la agitada economía de nuestro país, pudiendo afirmarse que es un hecho público y notorio que con el transcurso de los años no se adquiere la misma</w:t>
      </w:r>
      <w:r>
        <w:rPr>
          <w:lang w:val="es-AR" w:eastAsia="es-AR" w:bidi="es-AR"/>
        </w:rPr>
        <w:t xml:space="preserve"> </w:t>
      </w:r>
      <w:r>
        <w:rPr>
          <w:i/>
          <w:lang w:val="es-AR" w:eastAsia="es-AR" w:bidi="es-AR"/>
        </w:rPr>
        <w:t xml:space="preserve">cantidad de bienes y servicios con determinada cantidad de diner</w:t>
      </w:r>
      <w:r>
        <w:rPr>
          <w:lang w:val="es-AR" w:eastAsia="es-AR" w:bidi="es-AR"/>
        </w:rPr>
        <w:t xml:space="preserve">o" (CC0003 SM 67570 D-14/14 S 25/02/2014 Juez GALLEGO (SD) JUBA B3651602).-</w:t>
      </w:r>
    </w:p>
    <w:p>
      <w:pPr>
        <w:pStyle w:val="[Normal]"/>
        <w:spacing w:line="480" w:lineRule="auto"/>
        <w:ind w:firstLine="851"/>
        <w:jc w:val="both"/>
        <w:rPr>
          <w:lang w:val="es-AR" w:eastAsia="es-AR" w:bidi="es-AR"/>
        </w:rPr>
      </w:pPr>
      <w:r>
        <w:rPr>
          <w:lang w:val="es-AR" w:eastAsia="es-AR" w:bidi="es-AR"/>
        </w:rPr>
        <w:t xml:space="preserve">Por su parte, ha de considerarse que la obligación de prestar alimentos a los hijos se extiende hasta los veintiún (21) años, excepto que el obligado acredite que el hijo mayor de edad cuenta con recursos suficientes para proveérselos por si mismo (art. 658 C.C.yC.).-</w:t>
      </w:r>
    </w:p>
    <w:p>
      <w:pPr>
        <w:pStyle w:val="[Normal]"/>
        <w:spacing w:line="480" w:lineRule="auto"/>
        <w:ind w:firstLine="1134"/>
        <w:jc w:val="both"/>
        <w:rPr>
          <w:color w:val="000000"/>
          <w:lang w:val="es-AR" w:eastAsia="es-AR" w:bidi="es-AR"/>
        </w:rPr>
      </w:pPr>
      <w:r>
        <w:rPr>
          <w:color w:val="000000"/>
          <w:lang w:val="es-AR" w:eastAsia="es-AR" w:bidi="es-AR"/>
        </w:rPr>
        <w:t xml:space="preserve">Valorando esa circunstancia más aquella que indica que a mayor edad, mayores son las necesidades básicas que deben proveerse al menor, quien cursa el último año del colegio secundario, y que ya más aportes no pueden pedírsele a la progenitora, en tanto el informe ambiental ha sido claro respecto de la contribución y el esfuerzo de la misma; estimo que es el progenitor quien debe extremar las diligencias y su potencialidad para realizar un aporte mayor en la crianza de su hijo, por lo cual desde aquí se fija la cuota alimentaria definitiva en la suma de PESOS CINCO MIL ($ 5.000.-), confirmándose en todo lo de esos elementos han sido evaluados por el aquo y coincido en que se verifica una actividad de chófer de remis de manera informal (fs. 241) pero de ello también se infiere que los ingresos del mismo justamente por esa informalidad son de difícil prueba para la contraparte, y quien mejor posicionado estaba para demostrarlo era el propio obligado al pago.  Por ello propongo atender a la queja traída en punto al importe de la cuota el que debe ser incrementado, proponiéndose la suma de PESOS CINCO MIL ($ 5.000.-).-</w:t>
      </w:r>
    </w:p>
    <w:p>
      <w:pPr>
        <w:pStyle w:val="[Normal]"/>
        <w:spacing w:line="480" w:lineRule="auto"/>
        <w:ind w:firstLine="1134"/>
        <w:jc w:val="both"/>
        <w:rPr>
          <w:lang w:val="es-AR" w:eastAsia="es-AR" w:bidi="es-AR"/>
        </w:rPr>
      </w:pPr>
      <w:r>
        <w:rPr>
          <w:color w:val="000000"/>
          <w:lang w:val="es-AR" w:eastAsia="es-AR" w:bidi="es-AR"/>
        </w:rPr>
        <w:t xml:space="preserve">Finalmente, en materia de costas, esta Alzada ha aplicado reiteradamente el criterio de que en materia de alimentos, son en principio a cargo del alimentante pues de lo contrario se desvirtuaría la esencia de la prestación, al gravarse cuotas cuya percepción se presume como una necesidad de subsistencia (confr. causas  C-6376, RSD 36/08; Nº 735/10 RSD 11/11; Nº 1571/12 RSD 51/13, Nº 2020 RSI 39 del 13/3/14,ent. ots.).-</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 </w:t>
      </w:r>
      <w:r>
        <w:rPr>
          <w:lang w:val="es-AR" w:eastAsia="es-AR" w:bidi="es-AR"/>
        </w:rPr>
        <w:t xml:space="preserve">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Hacer lugar al recurso de apelación deducido por la parte actora, en punto al importe de la cuota alimentaria definitiva, incrementando la misma a la suma de PESOS SEIS MIL ($ 5.000.-), la que deberá abonarse conforme la modalidad establecida en la sentencia y confirmándose en todo lo demás lo allí dispuesto.-</w:t>
      </w:r>
    </w:p>
    <w:p>
      <w:pPr>
        <w:pStyle w:val="[Normal]"/>
        <w:spacing w:line="480" w:lineRule="auto"/>
        <w:ind w:firstLine="1134"/>
        <w:jc w:val="both"/>
        <w:rPr>
          <w:lang w:val="es-AR" w:eastAsia="es-AR" w:bidi="es-AR"/>
        </w:rPr>
      </w:pPr>
      <w:r>
        <w:rPr>
          <w:lang w:val="es-AR" w:eastAsia="es-AR" w:bidi="es-AR"/>
        </w:rPr>
        <w:t xml:space="preserve">Costas de Alzada a la parte demandada (art. 68 del CPCC).-</w:t>
      </w:r>
    </w:p>
    <w:p>
      <w:pPr>
        <w:pStyle w:val="[Normal]"/>
        <w:spacing w:line="480" w:lineRule="auto"/>
        <w:ind w:firstLine="1134"/>
        <w:jc w:val="both"/>
        <w:rPr>
          <w:lang w:val="es-AR" w:eastAsia="es-AR" w:bidi="es-AR"/>
        </w:rPr>
      </w:pPr>
      <w:r>
        <w:rPr>
          <w:lang w:val="es-AR" w:eastAsia="es-AR" w:bidi="es-AR"/>
        </w:rPr>
        <w:t xml:space="preserve">Regular los honorarios de la letrada de la parte actora Dra. Norma Lopez Faura, por sus trabajos por ante esta sede, en la suma equivalente a 1,07 jus de unidad arancelaria (arts. 24 y 31 ley 14967).  Adiciónese a dicho monto el porcentual legal pertinente (Ley 6716 y sus modificatorias T.O.Dec.4771/95; B.O.15/02/96) y el referente al IVA si correspondiere.-</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Hacer lugar al recurso de apelación deducido por la parte actora, en punto al importe de la cuota alimentaria definitiva, incrementando la misma a la suma de PESOS SEIS MIL ($ 5.000.-), la que deberá abonarse conforme la modalidad establecida en la sentencia y confirmándose en todo lo demás lo allí dispuesto.-</w:t>
      </w:r>
    </w:p>
    <w:p>
      <w:pPr>
        <w:pStyle w:val="[Normal]"/>
        <w:spacing w:line="480" w:lineRule="auto"/>
        <w:ind w:firstLine="1134"/>
        <w:jc w:val="both"/>
        <w:rPr>
          <w:lang w:val="es-AR" w:eastAsia="es-AR" w:bidi="es-AR"/>
        </w:rPr>
      </w:pPr>
      <w:r>
        <w:rPr>
          <w:lang w:val="es-AR" w:eastAsia="es-AR" w:bidi="es-AR"/>
        </w:rPr>
        <w:t xml:space="preserve">Costas a la parte demandada (art. 68 del CPCC).-</w:t>
      </w:r>
    </w:p>
    <w:p>
      <w:pPr>
        <w:pStyle w:val="[Normal]"/>
        <w:spacing w:line="480" w:lineRule="auto"/>
        <w:ind w:firstLine="1134"/>
        <w:jc w:val="both"/>
        <w:rPr>
          <w:lang w:val="es-AR" w:eastAsia="es-AR" w:bidi="es-AR"/>
        </w:rPr>
      </w:pPr>
      <w:r>
        <w:rPr>
          <w:lang w:val="es-AR" w:eastAsia="es-AR" w:bidi="es-AR"/>
        </w:rPr>
        <w:t xml:space="preserve">Regular los honorarios de la letrada de la parte actora Dra. Norma Lopez Faura, por sus trabajos por ante esta sede, en la suma equivalente a 1,07 jus de unidad arancelaria (arts. 24 y 31 ley 14967).  Adiciónese a dicho monto el porcentual legal pertinente (Ley 6716 y sus modificatorias T.O.Dec.4771/95; B.O.15/02/96) y el referente al IVA si correspondiere.-</w:t>
      </w:r>
    </w:p>
    <w:p>
      <w:pPr>
        <w:pStyle w:val="[Normal]"/>
        <w:spacing w:line="480" w:lineRule="auto"/>
        <w:ind w:firstLine="1134"/>
        <w:jc w:val="both"/>
        <w:rPr>
          <w:lang w:val="es-AR" w:eastAsia="es-AR" w:bidi="es-AR"/>
        </w:rPr>
      </w:pPr>
      <w:r>
        <w:rPr>
          <w:lang w:val="es-AR" w:eastAsia="es-AR" w:bidi="es-AR"/>
        </w:rPr>
        <w:t xml:space="preserve">Regístrese. Notifíquese (art. 54 de la Ley 14.967). Devuélvase.-</w:t>
      </w:r>
    </w:p>
    <w:p>
      <w:pPr>
        <w:pStyle w:val="[Normal]"/>
        <w:ind w:firstLine="1134"/>
        <w:jc w:val="center"/>
        <w:rPr>
          <w:b/>
          <w:color w:val="000000"/>
          <w:sz w:val="20"/>
          <w:lang w:val="es-AR" w:eastAsia="es-AR" w:bidi="es-AR"/>
        </w:rPr>
      </w:pPr>
      <w:r>
        <w:rPr>
          <w:b/>
          <w:color w:val="000000"/>
          <w:sz w:val="20"/>
          <w:lang w:val="es-AR" w:eastAsia="es-AR" w:bidi="es-AR"/>
        </w:rPr>
        <w:t xml:space="preserve">Graciela SCARAFFIA</w:t>
      </w:r>
    </w:p>
    <w:p>
      <w:pPr>
        <w:pStyle w:val="[Normal]"/>
        <w:ind w:firstLine="1134"/>
        <w:jc w:val="center"/>
        <w:rPr>
          <w:b/>
          <w:color w:val="000000"/>
          <w:sz w:val="20"/>
          <w:lang w:val="es-AR" w:eastAsia="es-AR" w:bidi="es-AR"/>
        </w:rPr>
      </w:pPr>
      <w:r>
        <w:rPr>
          <w:b/>
          <w:color w:val="000000"/>
          <w:sz w:val="20"/>
          <w:lang w:val="es-AR" w:eastAsia="es-AR" w:bidi="es-AR"/>
        </w:rPr>
        <w:t xml:space="preserve">Presidente Excma. Cámara de</w:t>
      </w:r>
    </w:p>
    <w:p>
      <w:pPr>
        <w:pStyle w:val="[Normal]"/>
        <w:ind w:firstLine="1134"/>
        <w:jc w:val="center"/>
        <w:rPr>
          <w:b/>
          <w:color w:val="000000"/>
          <w:sz w:val="20"/>
          <w:lang w:val="es-AR" w:eastAsia="es-AR" w:bidi="es-AR"/>
        </w:rPr>
      </w:pPr>
      <w:r>
        <w:rPr>
          <w:b/>
          <w:color w:val="000000"/>
          <w:sz w:val="20"/>
          <w:lang w:val="es-AR" w:eastAsia="es-AR" w:bidi="es-AR"/>
        </w:rPr>
        <w:t xml:space="preserve">Apelación en lo Civil y Comercial </w:t>
      </w:r>
    </w:p>
    <w:p>
      <w:pPr>
        <w:pStyle w:val="[Normal]"/>
        <w:ind w:firstLine="1134"/>
        <w:jc w:val="center"/>
        <w:rPr>
          <w:b/>
          <w:color w:val="000000"/>
          <w:sz w:val="20"/>
          <w:lang w:val="es-AR" w:eastAsia="es-AR" w:bidi="es-AR"/>
        </w:rPr>
      </w:pPr>
      <w:r>
        <w:rPr>
          <w:b/>
          <w:color w:val="000000"/>
          <w:sz w:val="20"/>
          <w:lang w:val="es-AR" w:eastAsia="es-AR" w:bidi="es-AR"/>
        </w:rPr>
        <w:t xml:space="preserve">Dpto. Judicial Pergamino</w:t>
      </w:r>
    </w:p>
    <w:p>
      <w:pPr>
        <w:pStyle w:val="[Normal]"/>
        <w:spacing w:line="480" w:lineRule="auto"/>
        <w:ind w:firstLine="1134"/>
        <w:jc w:val="both"/>
        <w:rPr>
          <w:b/>
          <w:color w:val="000000"/>
          <w:sz w:val="20"/>
          <w:lang w:val="es-AR" w:eastAsia="es-AR" w:bidi="es-AR"/>
        </w:rPr>
      </w:pPr>
    </w:p>
    <w:p>
      <w:pPr>
        <w:pStyle w:val="[Normal]"/>
        <w:ind w:firstLine="1134"/>
        <w:jc w:val="both"/>
        <w:rPr>
          <w:b/>
          <w:color w:val="000000"/>
          <w:sz w:val="20"/>
          <w:lang w:val="es-AR" w:eastAsia="es-AR" w:bidi="es-AR"/>
        </w:rPr>
      </w:pPr>
      <w:r>
        <w:rPr>
          <w:b/>
          <w:color w:val="000000"/>
          <w:sz w:val="20"/>
          <w:lang w:val="es-AR" w:eastAsia="es-AR" w:bidi="es-AR"/>
        </w:rPr>
        <w:t xml:space="preserve">Roberto Manuel DEGLEUE</w:t>
      </w:r>
    </w:p>
    <w:p>
      <w:pPr>
        <w:pStyle w:val="[Normal]"/>
        <w:ind w:firstLine="1134"/>
        <w:jc w:val="both"/>
        <w:rPr>
          <w:b/>
          <w:color w:val="000000"/>
          <w:sz w:val="20"/>
          <w:lang w:val="es-AR" w:eastAsia="es-AR" w:bidi="es-AR"/>
        </w:rPr>
      </w:pPr>
      <w:r>
        <w:rPr>
          <w:b/>
          <w:color w:val="000000"/>
          <w:sz w:val="20"/>
          <w:lang w:val="es-AR" w:eastAsia="es-AR" w:bidi="es-AR"/>
        </w:rPr>
        <w:t xml:space="preserve">           Juez</w:t>
      </w:r>
    </w:p>
    <w:p>
      <w:pPr>
        <w:pStyle w:val="[Normal]"/>
        <w:ind w:firstLine="1134"/>
        <w:jc w:val="both"/>
        <w:rPr>
          <w:b/>
          <w:color w:val="000000"/>
          <w:sz w:val="20"/>
          <w:lang w:val="es-AR" w:eastAsia="es-AR" w:bidi="es-AR"/>
        </w:rPr>
      </w:pPr>
    </w:p>
    <w:p>
      <w:pPr>
        <w:pStyle w:val="[Normal]"/>
        <w:ind w:firstLine="1134"/>
        <w:jc w:val="right"/>
        <w:rPr>
          <w:b/>
          <w:color w:val="000000"/>
          <w:sz w:val="20"/>
          <w:lang w:val="es-AR" w:eastAsia="es-AR" w:bidi="es-AR"/>
        </w:rPr>
      </w:pPr>
      <w:r>
        <w:rPr>
          <w:b/>
          <w:color w:val="000000"/>
          <w:sz w:val="20"/>
          <w:lang w:val="es-AR" w:eastAsia="es-AR" w:bidi="es-AR"/>
        </w:rPr>
        <w:t xml:space="preserve">Luis María BIANCO</w:t>
      </w:r>
    </w:p>
    <w:p>
      <w:pPr>
        <w:pStyle w:val="[Normal]"/>
        <w:rPr>
          <w:b/>
          <w:color w:val="000000"/>
          <w:sz w:val="2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