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19 /</w:t>
      </w:r>
      <w:r>
        <w:rPr>
          <w:color w:val="000000"/>
          <w:lang w:val="es-AR" w:eastAsia="es-AR" w:bidi="es-AR"/>
        </w:rPr>
        <w:t xml:space="preserve">2019</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100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19 de febrero  de 2019, reunidos en Acuerdo Ordinario los Sres. Jueces de la Excma. Cámara de Apelación en lo Civil y Comercial del Departamento Judicial Pergamino, para dictar sentencia en la causa N° </w:t>
      </w:r>
      <w:r>
        <w:rPr>
          <w:b/>
          <w:i/>
          <w:color w:val="000000"/>
          <w:lang w:val="es-AR" w:eastAsia="es-AR" w:bidi="es-AR"/>
        </w:rPr>
        <w:t xml:space="preserve">2467-15</w:t>
      </w:r>
      <w:r>
        <w:rPr>
          <w:i/>
          <w:lang w:val="es-AR" w:eastAsia="es-AR" w:bidi="es-AR"/>
        </w:rPr>
        <w:t xml:space="preserve"> </w:t>
      </w:r>
      <w:r>
        <w:rPr>
          <w:lang w:val="es-AR" w:eastAsia="es-AR" w:bidi="es-AR"/>
        </w:rPr>
        <w:t xml:space="preserve">caratulada </w:t>
      </w:r>
      <w:r>
        <w:rPr>
          <w:b/>
          <w:i/>
          <w:lang w:val="es-AR" w:eastAsia="es-AR" w:bidi="es-AR"/>
        </w:rPr>
        <w:t xml:space="preserve">"</w:t>
      </w:r>
      <w:r>
        <w:rPr>
          <w:b/>
          <w:i/>
          <w:color w:val="000000"/>
          <w:lang w:val="es-AR" w:eastAsia="es-AR" w:bidi="es-AR"/>
        </w:rPr>
        <w:t xml:space="preserve">COMPAÑIA AGRICOLA NOBILI S.A. C/ CENTRO DE DISTRIBUCIONES PERGAMINO S.A. Y OTRO/A S/DESALOJO (EXCEPTO POR FALTA DE PAGO)</w:t>
      </w:r>
      <w:r>
        <w:rPr>
          <w:b/>
          <w:i/>
          <w:lang w:val="es-AR" w:eastAsia="es-AR" w:bidi="es-AR"/>
        </w:rPr>
        <w:t xml:space="preserve">"</w:t>
      </w:r>
      <w:r>
        <w:rPr>
          <w:lang w:val="es-AR" w:eastAsia="es-AR" w:bidi="es-AR"/>
        </w:rPr>
        <w:t xml:space="preserve">, Expte. N° 67.476 del Juzgado en lo Civil y Comercial N° 1 departamental,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haciendo lugar a la demanda de desalojo y condenando en consecuencia a la empresa Centro de Distribución Pergamino S.A. y/o cualquier otro ocupante a entregar a la parte actora dentro del plazo de diez días el inmueble identificado en autos, libre de toda ocupación. Aplicó las costas a la parte demandada y los terceros citados y difirió la regulación de honorarios hasta que se haya determinado el valor del juicio.</w:t>
      </w:r>
    </w:p>
    <w:p>
      <w:pPr>
        <w:pStyle w:val="[Normal]"/>
        <w:spacing w:line="480" w:lineRule="auto"/>
        <w:ind w:firstLine="1134"/>
        <w:jc w:val="both"/>
        <w:rPr>
          <w:lang w:val="es-AR" w:eastAsia="es-AR" w:bidi="es-AR"/>
        </w:rPr>
      </w:pPr>
      <w:r>
        <w:rPr>
          <w:lang w:val="es-AR" w:eastAsia="es-AR" w:bidi="es-AR"/>
        </w:rPr>
        <w:t xml:space="preserve">A fs. 502 apeló el apoderado de la demandada, quien expresó sus agravios mediante la presentación electrónica de fecha 17 de agosto de 2018.</w:t>
      </w:r>
    </w:p>
    <w:p>
      <w:pPr>
        <w:pStyle w:val="[Normal]"/>
        <w:spacing w:line="480" w:lineRule="auto"/>
        <w:ind w:firstLine="1134"/>
        <w:jc w:val="both"/>
        <w:rPr>
          <w:lang w:val="es-AR" w:eastAsia="es-AR" w:bidi="es-AR"/>
        </w:rPr>
      </w:pPr>
      <w:r>
        <w:rPr>
          <w:lang w:val="es-AR" w:eastAsia="es-AR" w:bidi="es-AR"/>
        </w:rPr>
        <w:t xml:space="preserve">Se agravia el apelante de la sentencia que hace lugar a la acción de desalojo entablada y ordena devolver el inmueble libre de toda ocupación.</w:t>
      </w:r>
    </w:p>
    <w:p>
      <w:pPr>
        <w:pStyle w:val="[Normal]"/>
        <w:spacing w:line="480" w:lineRule="auto"/>
        <w:ind w:firstLine="1134"/>
        <w:jc w:val="both"/>
        <w:rPr>
          <w:lang w:val="es-AR" w:eastAsia="es-AR" w:bidi="es-AR"/>
        </w:rPr>
      </w:pPr>
      <w:r>
        <w:rPr>
          <w:lang w:val="es-AR" w:eastAsia="es-AR" w:bidi="es-AR"/>
        </w:rPr>
        <w:t xml:space="preserve">Afirma que no ha sido correcta la valoración de la prueba efectuada por el sentenciante y que si bien los jueces tienen atribuciones privativas de apreciar el mérito de la prueba, ello ha de ejercitarse prudentemente en resguardo de las garantías y derechos de las partes.</w:t>
      </w:r>
    </w:p>
    <w:p>
      <w:pPr>
        <w:pStyle w:val="[Normal]"/>
        <w:spacing w:line="480" w:lineRule="auto"/>
        <w:ind w:firstLine="1134"/>
        <w:jc w:val="both"/>
        <w:rPr>
          <w:lang w:val="es-AR" w:eastAsia="es-AR" w:bidi="es-AR"/>
        </w:rPr>
      </w:pPr>
      <w:r>
        <w:rPr>
          <w:lang w:val="es-AR" w:eastAsia="es-AR" w:bidi="es-AR"/>
        </w:rPr>
        <w:t xml:space="preserve">Alega que el Juez anterior omite considerar que la intimación cursada a que refiere el fallo tuvo lugar doce años después de iniciada la relación locativa, que se desarrolló de manera ininterrumpida desde el año 2001, como lo prueban los sucesivos contratos de locación agregados en autos, distintas facturas y los ciento cuarenta y nueve recibos de pago  de alquileres que acreditarían la relación locativa mantenida por su parte y las terceras citadas, señoras Marta Susana Bocaccio y Carla María Agosti. Señala que la primera de ellas invocó su condición de propietaria de un 25% del inmueble objeto de este juicio y expresó que el señor Agosti resultaba propietario de otro 25% y el 50% restante era propiedad de la actora. Mientras que, la segunda nombrada, quien suscribió como locadora contratos de alquiler, cambia su posición y reconoce la plena propiedad y el dominio del bien en cabeza de Compañía Agrícola Nóbili S.A., afirmando que no ha percibido alquileres -desconociendo los recibos firmados- y que si lo ha hecho ha sido por cuenta y orden de la mencionada empresa.</w:t>
      </w:r>
    </w:p>
    <w:p>
      <w:pPr>
        <w:pStyle w:val="[Normal]"/>
        <w:spacing w:line="480" w:lineRule="auto"/>
        <w:ind w:firstLine="1134"/>
        <w:jc w:val="both"/>
        <w:rPr>
          <w:lang w:val="es-AR" w:eastAsia="es-AR" w:bidi="es-AR"/>
        </w:rPr>
      </w:pPr>
      <w:r>
        <w:rPr>
          <w:lang w:val="es-AR" w:eastAsia="es-AR" w:bidi="es-AR"/>
        </w:rPr>
        <w:t xml:space="preserve">Se pregunta la recurrente acerca del motivo de la demora por parte del actor -casi trece años-, en reclamar el inmueble del que se dice propietario si como afirma en su demanda, habría tomado posesión del mismo mediante el acta judicial de fecha 27 de septiembre de 1990, señalando que debe tenerse presente que en esa época el inmueble se hallaba alquilado y que conforme lo dispuesto en el Código, si se enajena la cosa locada, debe el nuevo propietario respetar el contrato de locación vigente. Cita jurisprudencia en apoyo de su postura.</w:t>
      </w:r>
    </w:p>
    <w:p>
      <w:pPr>
        <w:pStyle w:val="[Normal]"/>
        <w:spacing w:line="480" w:lineRule="auto"/>
        <w:ind w:firstLine="1134"/>
        <w:jc w:val="both"/>
        <w:rPr>
          <w:lang w:val="es-AR" w:eastAsia="es-AR" w:bidi="es-AR"/>
        </w:rPr>
      </w:pPr>
      <w:r>
        <w:rPr>
          <w:lang w:val="es-AR" w:eastAsia="es-AR" w:bidi="es-AR"/>
        </w:rPr>
        <w:t xml:space="preserve">Sostiene que el actor debió haber entablado acción de reivindicación contra las terceras citadas que detentaban la posesión del inmueble cuya titularidad registral invoca.</w:t>
      </w:r>
    </w:p>
    <w:p>
      <w:pPr>
        <w:pStyle w:val="[Normal]"/>
        <w:spacing w:line="480" w:lineRule="auto"/>
        <w:ind w:firstLine="1134"/>
        <w:jc w:val="both"/>
        <w:rPr>
          <w:lang w:val="es-AR" w:eastAsia="es-AR" w:bidi="es-AR"/>
        </w:rPr>
      </w:pPr>
      <w:r>
        <w:rPr>
          <w:lang w:val="es-AR" w:eastAsia="es-AR" w:bidi="es-AR"/>
        </w:rPr>
        <w:t xml:space="preserve">Por último declara que con motivo de haber vencido el plazo contractual el día 26 de septiembre de 2017, su mandante desocupó el inmueble e hizo entrega del local y las llaves a quienes percibían los importes por alquileres y firmaban recibos -esto es, las terceras citadas-.</w:t>
      </w:r>
    </w:p>
    <w:p>
      <w:pPr>
        <w:pStyle w:val="[Normal]"/>
        <w:spacing w:line="480" w:lineRule="auto"/>
        <w:ind w:firstLine="1134"/>
        <w:jc w:val="both"/>
        <w:rPr>
          <w:lang w:val="es-AR" w:eastAsia="es-AR" w:bidi="es-AR"/>
        </w:rPr>
      </w:pPr>
      <w:r>
        <w:rPr>
          <w:lang w:val="es-AR" w:eastAsia="es-AR" w:bidi="es-AR"/>
        </w:rPr>
        <w:t xml:space="preserve">Solicita, en caso de la confirmación del fallo anterior, se impongan las costas en el orden causado ya que su parte, al recibir intimación por carta documento enviada por quien se dice propietario, pudo mantener la convicción de que si el inmueble hubiera sido enajenado por las locadoras el nuevo propietario se encontraría obligado a respetar la locación existente en los términos del art. 1498 del Código Civil y Comercial.</w:t>
      </w:r>
    </w:p>
    <w:p>
      <w:pPr>
        <w:pStyle w:val="[Normal]"/>
        <w:spacing w:line="480" w:lineRule="auto"/>
        <w:ind w:firstLine="1134"/>
        <w:jc w:val="both"/>
        <w:rPr>
          <w:lang w:val="es-AR" w:eastAsia="es-AR" w:bidi="es-AR"/>
        </w:rPr>
      </w:pPr>
      <w:r>
        <w:rPr>
          <w:lang w:val="es-AR" w:eastAsia="es-AR" w:bidi="es-AR"/>
        </w:rPr>
        <w:t xml:space="preserve">Peticiona en definitiva se revoque el fallo recurrido con expresa imposición de costas a la contraparte y en forma subsidiaria se impongan las mismas por su orden.</w:t>
      </w:r>
    </w:p>
    <w:p>
      <w:pPr>
        <w:pStyle w:val="[Normal]"/>
        <w:spacing w:line="480" w:lineRule="auto"/>
        <w:ind w:firstLine="1134"/>
        <w:jc w:val="both"/>
        <w:rPr>
          <w:lang w:val="es-AR" w:eastAsia="es-AR" w:bidi="es-AR"/>
        </w:rPr>
      </w:pPr>
      <w:r>
        <w:rPr>
          <w:lang w:val="es-AR" w:eastAsia="es-AR" w:bidi="es-AR"/>
        </w:rPr>
        <w:t xml:space="preserve"> A su turno, interpone recurso de apelación el apoderado de la tercera citada Marta Susana Bocaccio, quien expresó sus agravios en la presentación electrónica de fecha 10 de septiembre de 2018.</w:t>
      </w:r>
    </w:p>
    <w:p>
      <w:pPr>
        <w:pStyle w:val="[Normal]"/>
        <w:spacing w:line="480" w:lineRule="auto"/>
        <w:ind w:firstLine="1134"/>
        <w:jc w:val="both"/>
        <w:rPr>
          <w:lang w:val="es-AR" w:eastAsia="es-AR" w:bidi="es-AR"/>
        </w:rPr>
      </w:pPr>
      <w:r>
        <w:rPr>
          <w:lang w:val="es-AR" w:eastAsia="es-AR" w:bidi="es-AR"/>
        </w:rPr>
        <w:t xml:space="preserve">Comienza su crítica aclarando en principio que anoticiada su mandante de estas actuaciones de desalojo, en forma inmediata procedió a denunciar penalmente la situación solicitando se atienda a la prejudicialidad de la investigación penal respecto de la resolución en sede civil.</w:t>
      </w:r>
    </w:p>
    <w:p>
      <w:pPr>
        <w:pStyle w:val="[Normal]"/>
        <w:spacing w:line="480" w:lineRule="auto"/>
        <w:ind w:firstLine="1134"/>
        <w:jc w:val="both"/>
        <w:rPr>
          <w:lang w:val="es-AR" w:eastAsia="es-AR" w:bidi="es-AR"/>
        </w:rPr>
      </w:pPr>
      <w:r>
        <w:rPr>
          <w:lang w:val="es-AR" w:eastAsia="es-AR" w:bidi="es-AR"/>
        </w:rPr>
        <w:t xml:space="preserve">Afirma seguidamente que en el expediente sucesorio de Omar Manuel Villanueva no han sido tenidos en cuenta los textos que demuestran que su mandante es propietaria, como así tampoco el reconocimiento expreso efectuado por Nóbili, de la cesión a su difunto esposo.</w:t>
      </w:r>
    </w:p>
    <w:p>
      <w:pPr>
        <w:pStyle w:val="[Normal]"/>
        <w:spacing w:line="480" w:lineRule="auto"/>
        <w:ind w:firstLine="1134"/>
        <w:jc w:val="both"/>
        <w:rPr>
          <w:lang w:val="es-AR" w:eastAsia="es-AR" w:bidi="es-AR"/>
        </w:rPr>
      </w:pPr>
      <w:r>
        <w:rPr>
          <w:lang w:val="es-AR" w:eastAsia="es-AR" w:bidi="es-AR"/>
        </w:rPr>
        <w:t xml:space="preserve">Sostiene que existe una notoria contradicción no valorada por el a-quo cuando en el fallo refiere que la señora Carla Agosti "..</w:t>
      </w:r>
      <w:r>
        <w:rPr>
          <w:i/>
          <w:lang w:val="es-AR" w:eastAsia="es-AR" w:bidi="es-AR"/>
        </w:rPr>
        <w:t xml:space="preserve">no ha percibido pago de alquileres por cuenta y orden de la actora..</w:t>
      </w:r>
      <w:r>
        <w:rPr>
          <w:lang w:val="es-AR" w:eastAsia="es-AR" w:bidi="es-AR"/>
        </w:rPr>
        <w:t xml:space="preserve">." lo que difiere de la declaración testimonial prestada en la sede penal como así también destaca que no se ha tenido en cuenta el hecho de que siendo una comparecencia por título indebido (legado del padre), pide se ordene el desalojo, adhiriendo a las pretensiones de la actora.</w:t>
      </w:r>
    </w:p>
    <w:p>
      <w:pPr>
        <w:pStyle w:val="[Normal]"/>
        <w:spacing w:line="480" w:lineRule="auto"/>
        <w:ind w:firstLine="1134"/>
        <w:jc w:val="both"/>
        <w:rPr>
          <w:lang w:val="es-AR" w:eastAsia="es-AR" w:bidi="es-AR"/>
        </w:rPr>
      </w:pPr>
      <w:r>
        <w:rPr>
          <w:lang w:val="es-AR" w:eastAsia="es-AR" w:bidi="es-AR"/>
        </w:rPr>
        <w:t xml:space="preserve">Remarca que se soslayó el texto obrante en la causa sucesoria de Omar Villanueva",... suscripto por autor y coautor de la maniobra ilícita, es decir Nóbili y Agosti en cuanto pactaron una cantidad de hechos y circunstancias que importaron que la versión volcada por la señora Bocaccio sea absolutamente seria y cierta y que nunca Compañía Agrícola Nóbili S.A. tuvo posesión  del inmueble correspondiente a Agosti y Villanueva...".</w:t>
      </w:r>
    </w:p>
    <w:p>
      <w:pPr>
        <w:pStyle w:val="[Normal]"/>
        <w:spacing w:line="480" w:lineRule="auto"/>
        <w:ind w:firstLine="1134"/>
        <w:jc w:val="both"/>
        <w:rPr>
          <w:lang w:val="es-AR" w:eastAsia="es-AR" w:bidi="es-AR"/>
        </w:rPr>
      </w:pPr>
      <w:r>
        <w:rPr>
          <w:lang w:val="es-AR" w:eastAsia="es-AR" w:bidi="es-AR"/>
        </w:rPr>
        <w:t xml:space="preserve">Alega que el juzgador primero adoptó el criterio seguido por el instructor fiscal, restándole mérito a las pruebas que demuestran la asociación ilícita con más de dos partícipes. Dice que concluyó este último que se trataba de una cuestión meramente civil que no ameritaba su intervención y que apelada tal decisión se solicitó que el titular de la Fiscalía se inhibiera de actuar, no haciendo lugar a ello el Juez de Garantías, lo que determinó que no se averiguara la verdad y se dictaminara como se hizo.</w:t>
      </w:r>
    </w:p>
    <w:p>
      <w:pPr>
        <w:pStyle w:val="[Normal]"/>
        <w:spacing w:line="480" w:lineRule="auto"/>
        <w:ind w:firstLine="1134"/>
        <w:jc w:val="both"/>
        <w:rPr>
          <w:lang w:val="es-AR" w:eastAsia="es-AR" w:bidi="es-AR"/>
        </w:rPr>
      </w:pPr>
      <w:r>
        <w:rPr>
          <w:lang w:val="es-AR" w:eastAsia="es-AR" w:bidi="es-AR"/>
        </w:rPr>
        <w:t xml:space="preserve">Peticiona se reitere la prueba oportunamente ofrecida y se revoque en su momento la sentencia apelada con imposición de costas.  </w:t>
      </w:r>
    </w:p>
    <w:p>
      <w:pPr>
        <w:pStyle w:val="[Normal]"/>
        <w:spacing w:line="480" w:lineRule="auto"/>
        <w:ind w:firstLine="1134"/>
        <w:jc w:val="both"/>
        <w:rPr>
          <w:lang w:val="es-AR" w:eastAsia="es-AR" w:bidi="es-AR"/>
        </w:rPr>
      </w:pPr>
      <w:r>
        <w:rPr>
          <w:lang w:val="es-AR" w:eastAsia="es-AR" w:bidi="es-AR"/>
        </w:rPr>
        <w:t xml:space="preserve">A fs. 529 primer párrafo se declara improcedente el pedido formulado por no encontrase dentro de los supuestos contemplados por el art. 255 del CPCC.</w:t>
      </w:r>
    </w:p>
    <w:p>
      <w:pPr>
        <w:pStyle w:val="[Normal]"/>
        <w:spacing w:line="480" w:lineRule="auto"/>
        <w:ind w:firstLine="1134"/>
        <w:jc w:val="both"/>
        <w:rPr>
          <w:lang w:val="es-AR" w:eastAsia="es-AR" w:bidi="es-AR"/>
        </w:rPr>
      </w:pPr>
      <w:r>
        <w:rPr>
          <w:lang w:val="es-AR" w:eastAsia="es-AR" w:bidi="es-AR"/>
        </w:rPr>
        <w:t xml:space="preserve">Conferidos los traslados pertinentes, se tuvo por contestado el correspondiente a la parte actora, dándose por perdido el derecho dejado de usar a las terceras citadas. </w:t>
      </w:r>
    </w:p>
    <w:p>
      <w:pPr>
        <w:pStyle w:val="[Normal]"/>
        <w:spacing w:line="480" w:lineRule="auto"/>
        <w:ind w:firstLine="1134"/>
        <w:jc w:val="both"/>
        <w:rPr>
          <w:lang w:val="es-AR" w:eastAsia="es-AR" w:bidi="es-AR"/>
        </w:rPr>
      </w:pPr>
      <w:r>
        <w:rPr>
          <w:lang w:val="es-AR" w:eastAsia="es-AR" w:bidi="es-AR"/>
        </w:rPr>
        <w:t xml:space="preserve">En fecha 4 de octubre de 2018 se dictó el llamamiento de autos, que habiendo adquirido firmeza, deja la causa en condiciones de ser fallada.</w:t>
      </w:r>
    </w:p>
    <w:p>
      <w:pPr>
        <w:pStyle w:val="[Normal]"/>
        <w:spacing w:line="480" w:lineRule="auto"/>
        <w:ind w:firstLine="1134"/>
        <w:jc w:val="both"/>
        <w:rPr>
          <w:lang w:val="es-AR" w:eastAsia="es-AR" w:bidi="es-AR"/>
        </w:rPr>
      </w:pPr>
      <w:r>
        <w:rPr>
          <w:lang w:val="es-AR" w:eastAsia="es-AR" w:bidi="es-AR"/>
        </w:rPr>
        <w:t xml:space="preserve">Entrando a resolver las cuestiones traídas a la Alzada, he de comenzar por el tratamiento de la apelación de la parte demandada, y al respecto entiendo que no le asiste razón.</w:t>
      </w:r>
    </w:p>
    <w:p>
      <w:pPr>
        <w:pStyle w:val="[Normal]"/>
        <w:spacing w:line="480" w:lineRule="auto"/>
        <w:ind w:firstLine="1134"/>
        <w:jc w:val="both"/>
        <w:rPr>
          <w:lang w:val="es-AR" w:eastAsia="es-AR" w:bidi="es-AR"/>
        </w:rPr>
      </w:pPr>
      <w:r>
        <w:rPr>
          <w:lang w:val="es-AR" w:eastAsia="es-AR" w:bidi="es-AR"/>
        </w:rPr>
        <w:t xml:space="preserve">En efecto, en la sentencia de grado, el juez dejó en claro que las situaciones expuestas en demanda y sujetas a acreditación por parte del accionante eran dos: una su carácter de propietario del inmueble en cuestión y a su vez el de "tenedor precario o intruso de quien pretende excluir".-</w:t>
      </w:r>
    </w:p>
    <w:p>
      <w:pPr>
        <w:pStyle w:val="[Normal]"/>
        <w:spacing w:line="480" w:lineRule="auto"/>
        <w:ind w:firstLine="1134"/>
        <w:jc w:val="both"/>
        <w:rPr>
          <w:lang w:val="es-AR" w:eastAsia="es-AR" w:bidi="es-AR"/>
        </w:rPr>
      </w:pPr>
      <w:r>
        <w:rPr>
          <w:lang w:val="es-AR" w:eastAsia="es-AR" w:bidi="es-AR"/>
        </w:rPr>
        <w:t xml:space="preserve">La primera de ellas, en base a "... copia certificada de la escritura  de protocolización de actuaciones judiciales en subasta ..." (Fs. 18/30), destacando asimismo que "... </w:t>
      </w:r>
      <w:r>
        <w:rPr>
          <w:i/>
          <w:lang w:val="es-AR" w:eastAsia="es-AR" w:bidi="es-AR"/>
        </w:rPr>
        <w:t xml:space="preserve">a los fines del juicio de desalojo, que no prejuzga sobre el dominio o preferente derecho posesorio que pudiera alegarse (SCBA Ac. y Sent. v. II, p. 472) la calidad de propietario puede tenerse por probada con la incorporación de la escritura de protocolización de actuaciones judiciales en subasta ... ", y "...habiéndose ordenado el remate, efectuado la subasta y realizado los demás actos procesales; el título de adquisición a favor del comprador en subasta queda perfeccionado con la aprobación del remate dispuesto por el Juez y el pago del precio, siendo ese título el que le acuerda al comprador el derecho a ser puesto en posesión efectiva del bien adquirido, la que una vez lograda perfecciona su dominio sobre el mismo</w:t>
      </w:r>
      <w:r>
        <w:rPr>
          <w:lang w:val="es-AR" w:eastAsia="es-AR" w:bidi="es-AR"/>
        </w:rPr>
        <w:t xml:space="preserve">..." (ver Fs. 494).</w:t>
      </w:r>
    </w:p>
    <w:p>
      <w:pPr>
        <w:pStyle w:val="[Normal]"/>
        <w:spacing w:line="480" w:lineRule="auto"/>
        <w:ind w:firstLine="1134"/>
        <w:jc w:val="both"/>
        <w:rPr>
          <w:lang w:val="es-AR" w:eastAsia="es-AR" w:bidi="es-AR"/>
        </w:rPr>
      </w:pPr>
      <w:r>
        <w:rPr>
          <w:lang w:val="es-AR" w:eastAsia="es-AR" w:bidi="es-AR"/>
        </w:rPr>
        <w:t xml:space="preserve">A su vez, la demandada apelante, si bien adujo que estaba en uso del inmueble en base a contratos de locación firmados con terceras personas, no demostró que ellas tuvieran derecho alguno a efectuar tales contratos, y es precisamente tal circunstancia que el juez apreció para atribuirle la calidad de intruso " ... </w:t>
      </w:r>
      <w:r>
        <w:rPr>
          <w:i/>
          <w:lang w:val="es-AR" w:eastAsia="es-AR" w:bidi="es-AR"/>
        </w:rPr>
        <w:t xml:space="preserve">toda vez que ocupa el bien objeto de autos sin derecho o autorización , otorgado por su propietario</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Considero que ninguna de las circunstancias que el juez tomara para hacer lugar a la demanda es puesta válidamente en crisis por el escrito de agravios, sino que más bien insiste sobre aspectos que destacara al contestar la demanda incoada en su contra, como son los contratos de locación celebrados con terceros -sobre los que no probó que tuvieran derecho a realizar los mismos -, y la cantidad de años que dice haber estado ocupando el bien, sin objeción por parte del actor, que nada modifica su deber de devolver la cosa a quien se presenta como titular del derecho de propiedad.- </w:t>
      </w:r>
    </w:p>
    <w:p>
      <w:pPr>
        <w:pStyle w:val="[Normal]"/>
        <w:spacing w:line="480" w:lineRule="auto"/>
        <w:ind w:firstLine="1134"/>
        <w:jc w:val="both"/>
        <w:rPr>
          <w:lang w:val="es-AR" w:eastAsia="es-AR" w:bidi="es-AR"/>
        </w:rPr>
      </w:pPr>
      <w:r>
        <w:rPr>
          <w:lang w:val="es-AR" w:eastAsia="es-AR" w:bidi="es-AR"/>
        </w:rPr>
        <w:t xml:space="preserve">Por último, y para reafirmar la falta de razón que lleva su pedido, en la misma apelación hace referencia a que su parte ha hecho entrega del  bien objeto de esta litis, si bien no en la persona del accionante, situación que se ha reflejado en el acta obrante a Fs. 515, la cual ha derivado en la entrega del mismo al apoderado de la actora, en carácter de tenedor precario.-</w:t>
      </w:r>
    </w:p>
    <w:p>
      <w:pPr>
        <w:pStyle w:val="[Normal]"/>
        <w:spacing w:line="480" w:lineRule="auto"/>
        <w:ind w:firstLine="1134"/>
        <w:jc w:val="both"/>
        <w:rPr>
          <w:lang w:val="es-AR" w:eastAsia="es-AR" w:bidi="es-AR"/>
        </w:rPr>
      </w:pPr>
      <w:r>
        <w:rPr>
          <w:lang w:val="es-AR" w:eastAsia="es-AR" w:bidi="es-AR"/>
        </w:rPr>
        <w:t xml:space="preserve">Y, con ello el agravio que su parte dice que le causara la sentencia de desalojo y que intentara reparar mediante su recurso de apelación, esto es la condena a "... </w:t>
      </w:r>
      <w:r>
        <w:rPr>
          <w:i/>
          <w:lang w:val="es-AR" w:eastAsia="es-AR" w:bidi="es-AR"/>
        </w:rPr>
        <w:t xml:space="preserve">devolver el inmueble libre de toda ocupación...</w:t>
      </w:r>
      <w:r>
        <w:rPr>
          <w:lang w:val="es-AR" w:eastAsia="es-AR" w:bidi="es-AR"/>
        </w:rPr>
        <w:t xml:space="preserve">", ha perdido virtualidad  (punto "III" del escrito de expresión de agravios presentado electrónicamente en fecha 17/8/18).-</w:t>
      </w:r>
    </w:p>
    <w:p>
      <w:pPr>
        <w:pStyle w:val="[Normal]"/>
        <w:spacing w:line="480" w:lineRule="auto"/>
        <w:ind w:firstLine="1134"/>
        <w:jc w:val="both"/>
        <w:rPr>
          <w:lang w:val="es-AR" w:eastAsia="es-AR" w:bidi="es-AR"/>
        </w:rPr>
      </w:pPr>
      <w:r>
        <w:rPr>
          <w:lang w:val="es-AR" w:eastAsia="es-AR" w:bidi="es-AR"/>
        </w:rPr>
        <w:t xml:space="preserve">En relación al pedido en subisidio de que se impongan las costas por su orden, tampoco ha de ser recibido, ya que su carácter de perdidoso, habiéndose  resistido a la demanda y oponiéndose a la misma, no amerita el apartamiento de la clara normativa al respecto (art. 68 del C.P.C. y C.).-</w:t>
      </w:r>
    </w:p>
    <w:p>
      <w:pPr>
        <w:pStyle w:val="[Normal]"/>
        <w:spacing w:line="480" w:lineRule="auto"/>
        <w:ind w:firstLine="1134"/>
        <w:jc w:val="both"/>
        <w:rPr>
          <w:lang w:val="es-AR" w:eastAsia="es-AR" w:bidi="es-AR"/>
        </w:rPr>
      </w:pPr>
      <w:r>
        <w:rPr>
          <w:lang w:val="es-AR" w:eastAsia="es-AR" w:bidi="es-AR"/>
        </w:rPr>
        <w:t xml:space="preserve">Ahora, en lo que refiere a la apelación deducida por la citada como tercero, Sra. Marta Bocaccio, entiendo que el escrito presentado como memorial de su parte, dista de la "crítica concreta y razonada" que exige el código de rito. (Art. 260 del C.P.C. y C.).-</w:t>
      </w:r>
    </w:p>
    <w:p>
      <w:pPr>
        <w:pStyle w:val="[Normal]"/>
        <w:spacing w:line="480" w:lineRule="auto"/>
        <w:ind w:firstLine="1134"/>
        <w:jc w:val="both"/>
        <w:rPr>
          <w:lang w:val="es-AR" w:eastAsia="es-AR" w:bidi="es-AR"/>
        </w:rPr>
      </w:pPr>
      <w:r>
        <w:rPr>
          <w:lang w:val="es-AR" w:eastAsia="es-AR" w:bidi="es-AR"/>
        </w:rPr>
        <w:t xml:space="preserve">Es que, la crítica ensayada se limita a insistir sobre aspectos que deben transitar por carril distinto de este proceso, en tanto ella ha sido citada en base a los dichos del demandado principal, en cuanto que era una de las locadoras del contrato invocado en defensa de aquél, por lo que y ante la falta de acreditación del derecho de su parte para otorgar válidamente dicha relación contractual, es que el juez hizo lugar a la demanda de desalojo oportunamente incoada.-</w:t>
      </w:r>
    </w:p>
    <w:p>
      <w:pPr>
        <w:pStyle w:val="[Normal]"/>
        <w:spacing w:line="480" w:lineRule="auto"/>
        <w:ind w:firstLine="1134"/>
        <w:jc w:val="both"/>
        <w:rPr>
          <w:lang w:val="es-AR" w:eastAsia="es-AR" w:bidi="es-AR"/>
        </w:rPr>
      </w:pPr>
      <w:r>
        <w:rPr>
          <w:lang w:val="es-AR" w:eastAsia="es-AR" w:bidi="es-AR"/>
        </w:rPr>
        <w:t xml:space="preserve">Sin embargo, como ya lo dijera, sobre tal conclusión en la sentencia primera nada rebate en contra, sino que se apontoca en eventuales derechos sobre el inmueble, en base a documental a la que expresamente el juez interviniente restara valor probatorio, no refutando la documentación por la cual se tuviera a la accionante como legitimada para la acción entablada.-</w:t>
      </w:r>
    </w:p>
    <w:p>
      <w:pPr>
        <w:pStyle w:val="[Normal]"/>
        <w:spacing w:line="480" w:lineRule="auto"/>
        <w:ind w:firstLine="1134"/>
        <w:jc w:val="both"/>
        <w:rPr>
          <w:lang w:val="es-AR" w:eastAsia="es-AR" w:bidi="es-AR"/>
        </w:rPr>
      </w:pPr>
      <w:r>
        <w:rPr>
          <w:lang w:val="es-AR" w:eastAsia="es-AR" w:bidi="es-AR"/>
        </w:rPr>
        <w:t xml:space="preserve">Asi es que respecto de la documentación por ella acompañada, se dijo que "... </w:t>
      </w:r>
      <w:r>
        <w:rPr>
          <w:i/>
          <w:lang w:val="es-AR" w:eastAsia="es-AR" w:bidi="es-AR"/>
        </w:rPr>
        <w:t xml:space="preserve"> -protocolización de instrumento privado (ver fs. 304/305) -, resulta prudente destacar  que el hecho de agregar un documento privado al protocolo del notario, no implica darle a éste categoría de instrumento público, sino tan sólo fecha cierta. El notario interviniente sólo hace una transcripción literal del documento que le fuera entregado, sin que ello acredite que lo allí transcripto sea veraz y que se haya cumplido con todos los requisitos estatutarios obligatorios. Es por ello que, los contratos celebrados no son oponibles a la parte actora</w:t>
      </w:r>
      <w:r>
        <w:rPr>
          <w:lang w:val="es-AR" w:eastAsia="es-AR" w:bidi="es-AR"/>
        </w:rPr>
        <w:t xml:space="preserve"> ..." (Fs. 492 Vta.).-</w:t>
      </w:r>
    </w:p>
    <w:p>
      <w:pPr>
        <w:pStyle w:val="[Normal]"/>
        <w:spacing w:line="480" w:lineRule="auto"/>
        <w:ind w:firstLine="1134"/>
        <w:jc w:val="both"/>
        <w:rPr>
          <w:lang w:val="es-AR" w:eastAsia="es-AR" w:bidi="es-AR"/>
        </w:rPr>
      </w:pPr>
      <w:r>
        <w:rPr>
          <w:lang w:val="es-AR" w:eastAsia="es-AR" w:bidi="es-AR"/>
        </w:rPr>
        <w:t xml:space="preserve">Y como ya lo señalara, en orden a tal interpretación efectuada por el sentenciante, nada intenta rebatir en contrario, deviniendo su planteo recursivo insuficiente, ante lo cual no cabe más que declararlo desierto (arts. 260 y 261 del C.P.P.C, y C.).-</w:t>
      </w:r>
    </w:p>
    <w:p>
      <w:pPr>
        <w:pStyle w:val="[Normal]"/>
        <w:spacing w:line="480" w:lineRule="auto"/>
        <w:ind w:firstLine="1134"/>
        <w:jc w:val="both"/>
        <w:rPr>
          <w:lang w:val="es-AR" w:eastAsia="es-AR" w:bidi="es-AR"/>
        </w:rPr>
      </w:pPr>
      <w:r>
        <w:rPr>
          <w:lang w:val="es-AR" w:eastAsia="es-AR" w:bidi="es-AR"/>
        </w:rPr>
        <w:t xml:space="preserve">"En resumidas cuentas, resulta insuficiente la parcela del recurso que -como en el caso- se limita a discrepar con las conclusiones del a quo exponiendo su propio criterio interpretativo, que no es base idónea de agravios ni exterioriza el absurdo que viabilice la queja (conf. doctr. causas Ac. 69.899, "Centro de Analistas Clínicos", sent. de 17-V-2000; Ac. 93.002, "C., C. R.", sent. de 6-VI-2007 y C. 103.186, "Banco Sudameris Argentina S.A.", sent. de 30-III-2011)".-</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los recursos de apelación deducidos por el demandado principal y la citada Marta Bocaccio, y en consecuencia confirmar la sentencia primera en todas sus partes. </w:t>
      </w:r>
    </w:p>
    <w:p>
      <w:pPr>
        <w:pStyle w:val="[Normal]"/>
        <w:spacing w:line="480" w:lineRule="auto"/>
        <w:ind w:firstLine="1134"/>
        <w:jc w:val="both"/>
        <w:rPr>
          <w:lang w:val="es-AR" w:eastAsia="es-AR" w:bidi="es-AR"/>
        </w:rPr>
      </w:pPr>
      <w:r>
        <w:rPr>
          <w:lang w:val="es-AR" w:eastAsia="es-AR" w:bidi="es-AR"/>
        </w:rPr>
        <w:t xml:space="preserve">Costas a los apelantes que resultan vencidos (art. 68 del C.P.C. y C.). Diferir la regulación de los honorarios hasta tanto exista base firme para ello (art. 31 ley arancelaria).-</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los recursos de apelación deducidos por el demandado principal y la citada Marta Bocaccio, y en consecuencia confirmar la sentencia primera en todas sus partes. </w:t>
      </w:r>
    </w:p>
    <w:p>
      <w:pPr>
        <w:pStyle w:val="[Normal]"/>
        <w:spacing w:line="480" w:lineRule="auto"/>
        <w:ind w:firstLine="1134"/>
        <w:jc w:val="both"/>
        <w:rPr>
          <w:lang w:val="es-AR" w:eastAsia="es-AR" w:bidi="es-AR"/>
        </w:rPr>
      </w:pPr>
      <w:r>
        <w:rPr>
          <w:lang w:val="es-AR" w:eastAsia="es-AR" w:bidi="es-AR"/>
        </w:rPr>
        <w:t xml:space="preserve">Costas a los apelantes que resultan vencidos (art. 68 del C.P.C. y C.). Diferir la regulación de los honorarios hasta tanto exista base firme para ello (art. 31 ley arancelaria).-</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ind w:firstLine="1134"/>
        <w:jc w:val="both"/>
        <w:rPr>
          <w:color w:val="000000"/>
          <w:lang w:val="es-AR" w:eastAsia="es-AR" w:bidi="es-AR"/>
        </w:rPr>
      </w:pPr>
    </w:p>
    <w:p>
      <w:pPr>
        <w:pStyle w:val="[Normal]"/>
        <w:ind w:firstLine="1134"/>
        <w:jc w:val="both"/>
        <w:rPr>
          <w:color w:val="000000"/>
          <w:lang w:val="es-AR" w:eastAsia="es-AR" w:bidi="es-AR"/>
        </w:rPr>
      </w:pPr>
    </w:p>
    <w:p>
      <w:pPr>
        <w:pStyle w:val="[Normal]"/>
        <w:ind w:firstLine="1134"/>
        <w:jc w:val="both"/>
        <w:rPr>
          <w:color w:val="000000"/>
          <w:lang w:val="es-AR" w:eastAsia="es-AR" w:bidi="es-AR"/>
        </w:rPr>
      </w:pPr>
    </w:p>
    <w:p>
      <w:pPr>
        <w:pStyle w:val="[Normal]"/>
        <w:ind w:firstLine="1134"/>
        <w:jc w:val="both"/>
        <w:rPr>
          <w:color w:val="000000"/>
          <w:lang w:val="es-AR" w:eastAsia="es-AR" w:bidi="es-AR"/>
        </w:rPr>
      </w:pPr>
    </w:p>
    <w:p>
      <w:pPr>
        <w:pStyle w:val="[Normal]"/>
        <w:ind w:firstLine="1134"/>
        <w:jc w:val="both"/>
        <w:rPr>
          <w:b/>
          <w:color w:val="000000"/>
          <w:sz w:val="18"/>
          <w:lang w:val="es-AR" w:eastAsia="es-AR" w:bidi="es-AR"/>
        </w:rPr>
      </w:pPr>
      <w:r>
        <w:rPr>
          <w:color w:val="000000"/>
          <w:lang w:val="es-AR" w:eastAsia="es-AR" w:bidi="es-AR"/>
        </w:rPr>
        <w:t xml:space="preserve">                              </w:t>
      </w:r>
      <w:r>
        <w:rPr>
          <w:b/>
          <w:color w:val="000000"/>
          <w:sz w:val="18"/>
          <w:lang w:val="es-AR" w:eastAsia="es-AR" w:bidi="es-AR"/>
        </w:rPr>
        <w:t xml:space="preserve">Graciela SCARAFFIA</w:t>
      </w:r>
    </w:p>
    <w:p>
      <w:pPr>
        <w:pStyle w:val="[Normal]"/>
        <w:jc w:val="center"/>
        <w:rPr>
          <w:b/>
          <w:color w:val="000000"/>
          <w:sz w:val="18"/>
          <w:lang w:val="es-AR" w:eastAsia="es-AR" w:bidi="es-AR"/>
        </w:rPr>
      </w:pPr>
      <w:r>
        <w:rPr>
          <w:b/>
          <w:color w:val="000000"/>
          <w:sz w:val="18"/>
          <w:lang w:val="es-AR" w:eastAsia="es-AR" w:bidi="es-AR"/>
        </w:rPr>
        <w:t xml:space="preserve">Presidente Excma. Cámara de</w:t>
      </w:r>
    </w:p>
    <w:p>
      <w:pPr>
        <w:pStyle w:val="[Normal]"/>
        <w:jc w:val="center"/>
        <w:rPr>
          <w:b/>
          <w:color w:val="000000"/>
          <w:sz w:val="18"/>
          <w:lang w:val="es-AR" w:eastAsia="es-AR" w:bidi="es-AR"/>
        </w:rPr>
      </w:pPr>
      <w:r>
        <w:rPr>
          <w:b/>
          <w:color w:val="000000"/>
          <w:sz w:val="18"/>
          <w:lang w:val="es-AR" w:eastAsia="es-AR" w:bidi="es-AR"/>
        </w:rPr>
        <w:t xml:space="preserve">Apelación en lo Civil y Comercial </w:t>
      </w:r>
    </w:p>
    <w:p>
      <w:pPr>
        <w:pStyle w:val="[Normal]"/>
        <w:jc w:val="center"/>
        <w:rPr>
          <w:color w:val="000000"/>
          <w:lang w:val="es-AR" w:eastAsia="es-AR" w:bidi="es-AR"/>
        </w:rPr>
      </w:pPr>
      <w:r>
        <w:rPr>
          <w:b/>
          <w:color w:val="000000"/>
          <w:sz w:val="18"/>
          <w:lang w:val="es-AR" w:eastAsia="es-AR" w:bidi="es-AR"/>
        </w:rPr>
        <w:t xml:space="preserve">                                                            Dpto. Judicial Pergamino                                                                                                                                                                                                   Si-/////</w:t>
      </w:r>
    </w:p>
    <w:p>
      <w:pPr>
        <w:pStyle w:val="[Normal]"/>
        <w:spacing w:line="480" w:lineRule="auto"/>
        <w:jc w:val="both"/>
        <w:rPr>
          <w:color w:val="000000"/>
          <w:sz w:val="20"/>
          <w:lang w:val="es-AR" w:eastAsia="es-AR" w:bidi="es-AR"/>
        </w:rPr>
      </w:pPr>
      <w:r>
        <w:rPr>
          <w:color w:val="000000"/>
          <w:sz w:val="20"/>
          <w:lang w:val="es-AR" w:eastAsia="es-AR" w:bidi="es-AR"/>
        </w:rPr>
        <w:t xml:space="preserve">///guen las Firmas.-</w:t>
      </w:r>
    </w:p>
    <w:p>
      <w:pPr>
        <w:pStyle w:val="[Normal]"/>
        <w:spacing w:line="480" w:lineRule="auto"/>
        <w:jc w:val="both"/>
        <w:rPr>
          <w:color w:val="000000"/>
          <w:sz w:val="20"/>
          <w:lang w:val="es-AR" w:eastAsia="es-AR" w:bidi="es-AR"/>
        </w:rPr>
      </w:pPr>
    </w:p>
    <w:p>
      <w:pPr>
        <w:pStyle w:val="[Normal]"/>
        <w:spacing w:line="480" w:lineRule="auto"/>
        <w:jc w:val="both"/>
        <w:rPr>
          <w:color w:val="000000"/>
          <w:sz w:val="20"/>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Roberto Manuel DEGLEUE</w:t>
      </w:r>
    </w:p>
    <w:p>
      <w:pPr>
        <w:pStyle w:val="[Normal]"/>
        <w:jc w:val="both"/>
        <w:rPr>
          <w:b/>
          <w:color w:val="000000"/>
          <w:sz w:val="18"/>
          <w:lang w:val="es-AR" w:eastAsia="es-AR" w:bidi="es-AR"/>
        </w:rPr>
      </w:pPr>
      <w:r>
        <w:rPr>
          <w:b/>
          <w:color w:val="000000"/>
          <w:sz w:val="18"/>
          <w:lang w:val="es-AR" w:eastAsia="es-AR" w:bidi="es-AR"/>
        </w:rPr>
        <w:t xml:space="preserve">                                                Juez</w:t>
      </w: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                                                                         Luis María BIANCO</w:t>
      </w:r>
    </w:p>
    <w:p>
      <w:pPr>
        <w:pStyle w:val="[Normal]"/>
        <w:rPr>
          <w:b/>
          <w:color w:val="000000"/>
          <w:sz w:val="18"/>
          <w:lang w:val="es-AR" w:eastAsia="es-AR" w:bidi="es-AR"/>
        </w:rPr>
      </w:pPr>
      <w:r>
        <w:rPr>
          <w:b/>
          <w:color w:val="000000"/>
          <w:sz w:val="18"/>
          <w:lang w:val="es-AR" w:eastAsia="es-AR" w:bidi="es-AR"/>
        </w:rPr>
        <w:t xml:space="preserve">                                                                          Auxiliar Letrado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