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5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21/25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08  de febrero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w:t>
      </w:r>
      <w:r>
        <w:rPr>
          <w:b/>
          <w:lang w:val="es-AR" w:eastAsia="es-AR" w:bidi="es-AR"/>
        </w:rPr>
        <w:t xml:space="preserve"> </w:t>
      </w:r>
      <w:r>
        <w:rPr>
          <w:b/>
          <w:color w:val="000000"/>
          <w:lang w:val="es-AR" w:eastAsia="es-AR" w:bidi="es-AR"/>
        </w:rPr>
        <w:t xml:space="preserve">3395-18</w:t>
      </w:r>
      <w:r>
        <w:rPr>
          <w:lang w:val="es-AR" w:eastAsia="es-AR" w:bidi="es-AR"/>
        </w:rPr>
        <w:t xml:space="preserve"> caratulada </w:t>
      </w:r>
      <w:r>
        <w:rPr>
          <w:b/>
          <w:lang w:val="es-AR" w:eastAsia="es-AR" w:bidi="es-AR"/>
        </w:rPr>
        <w:t xml:space="preserve">"</w:t>
      </w:r>
      <w:r>
        <w:rPr>
          <w:b/>
          <w:color w:val="000000"/>
          <w:lang w:val="es-AR" w:eastAsia="es-AR" w:bidi="es-AR"/>
        </w:rPr>
        <w:t xml:space="preserve">RUFFINI, RICARDO RAÚL Y OTRO/A C/FONDO DE APOYO MUTUAL E/ACCIONISTAS DE CLINICA CENTRO (FAMACC) S/ EJECUCION HIPOTECARIA (14)</w:t>
      </w:r>
      <w:r>
        <w:rPr>
          <w:b/>
          <w:lang w:val="es-AR" w:eastAsia="es-AR" w:bidi="es-AR"/>
        </w:rPr>
        <w:t xml:space="preserve">"</w:t>
      </w:r>
      <w:r>
        <w:rPr>
          <w:lang w:val="es-AR" w:eastAsia="es-AR" w:bidi="es-AR"/>
        </w:rPr>
        <w:t xml:space="preserve">, Expte. N° </w:t>
      </w:r>
      <w:r>
        <w:rPr>
          <w:color w:val="000000"/>
          <w:lang w:val="es-AR" w:eastAsia="es-AR" w:bidi="es-AR"/>
        </w:rPr>
        <w:t xml:space="preserve">36167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Civil y Comercial N° 3 departamental,</w:t>
      </w:r>
      <w:r>
        <w:rPr>
          <w:lang w:val="es-AR" w:eastAsia="es-AR" w:bidi="es-AR"/>
        </w:rPr>
        <w:t xml:space="preserve"> encontrándose la Dra. Graciela Scaraffía excusada a fs. </w:t>
      </w:r>
      <w:r>
        <w:rPr>
          <w:color w:val="000000"/>
          <w:lang w:val="es-AR" w:eastAsia="es-AR" w:bidi="es-AR"/>
        </w:rPr>
        <w:t xml:space="preserve">121</w:t>
      </w:r>
      <w:r>
        <w:rPr>
          <w:lang w:val="es-AR" w:eastAsia="es-AR" w:bidi="es-AR"/>
        </w:rPr>
        <w:t xml:space="preserve">, se ordenó la integración de este Tribunal y se practicó el sorteo de ley que determinó que la votación debía efectuarse en el siguiente orden: Dres. Roberto Manuel Degleue y Luciano C. Savignano,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primera instancia falló en las presentes actuaciones rechazando tanto la impugnación deducida por la parte demandada a fs. 398/9 como la liquidación practicada por la actora a fs. 394. Impuso las costas a la ejecutante. Asimismo, amplió la liquidación aprobada en autos a fs. 266/9 en la suma de $164.277,77 en concepto de  intereses y reguló los honorarios de los Dres. Ambrosio Luis Bottarini</w:t>
      </w:r>
      <w:r>
        <w:rPr>
          <w:b/>
          <w:lang w:val="es-AR" w:eastAsia="es-AR" w:bidi="es-AR"/>
        </w:rPr>
        <w:t xml:space="preserve"> </w:t>
      </w:r>
      <w:r>
        <w:rPr>
          <w:lang w:val="es-AR" w:eastAsia="es-AR" w:bidi="es-AR"/>
        </w:rPr>
        <w:t xml:space="preserve">y Roberto Senés en la suma de 3,10 JUS y de 4,44 JUS, respectivamente.</w:t>
      </w:r>
    </w:p>
    <w:p>
      <w:pPr>
        <w:pStyle w:val="[Normal]"/>
        <w:spacing w:line="480" w:lineRule="auto"/>
        <w:jc w:val="both"/>
        <w:rPr>
          <w:lang w:val="es-AR" w:eastAsia="es-AR" w:bidi="es-AR"/>
        </w:rPr>
      </w:pPr>
      <w:r>
        <w:rPr>
          <w:lang w:val="es-AR" w:eastAsia="es-AR" w:bidi="es-AR"/>
        </w:rPr>
        <w:t xml:space="preserve">                   Disconforme con lo decidido, apela la actora a fs. 437, concedido el recurso en relación a fs. 438, fundado por intermedio de pieza obrante a fs. 439/41. Mediante escrito electrónico de fecha 21-5-2018 apela el Dr. Roberto Senés, concedido el recurso en relación a fs. 438, expresando sus agravios a fs. 445/6, habiendo las partes contestado los traslados conferidos a fs. 446/8 y mediante presentación electrónica de fecha 25-6-2018.</w:t>
      </w:r>
    </w:p>
    <w:p>
      <w:pPr>
        <w:pStyle w:val="[Normal]"/>
        <w:spacing w:line="480" w:lineRule="auto"/>
        <w:jc w:val="both"/>
        <w:rPr>
          <w:lang w:val="es-AR" w:eastAsia="es-AR" w:bidi="es-AR"/>
        </w:rPr>
      </w:pPr>
      <w:r>
        <w:rPr>
          <w:lang w:val="es-AR" w:eastAsia="es-AR" w:bidi="es-AR"/>
        </w:rPr>
        <w:t xml:space="preserve">	Elevados los autos pasa a resolver a fs. 456, providencia que firme a la fecha deja la causa en condiciones de ser fallada.     </w:t>
      </w:r>
    </w:p>
    <w:p>
      <w:pPr>
        <w:pStyle w:val="[Normal]"/>
        <w:spacing w:line="480" w:lineRule="auto"/>
        <w:jc w:val="both"/>
        <w:rPr>
          <w:lang w:val="es-AR" w:eastAsia="es-AR" w:bidi="es-AR"/>
        </w:rPr>
      </w:pPr>
      <w:r>
        <w:rPr>
          <w:lang w:val="es-AR" w:eastAsia="es-AR" w:bidi="es-AR"/>
        </w:rPr>
        <w:t xml:space="preserve">	La parte actora se agravia del decisorio atacado por cuanto sostiene que el a-quo practica una liquidación alejada de la resoluciones dictadas en autos, no interpreta el fallo citado por la Suprema Corte y no aplica debidamente las normas del caso. </w:t>
      </w:r>
    </w:p>
    <w:p>
      <w:pPr>
        <w:pStyle w:val="[Normal]"/>
        <w:spacing w:line="480" w:lineRule="auto"/>
        <w:jc w:val="both"/>
        <w:rPr>
          <w:lang w:val="es-AR" w:eastAsia="es-AR" w:bidi="es-AR"/>
        </w:rPr>
      </w:pPr>
      <w:r>
        <w:rPr>
          <w:lang w:val="es-AR" w:eastAsia="es-AR" w:bidi="es-AR"/>
        </w:rPr>
        <w:t xml:space="preserve">	Haciendo un raconto de lo ocurrido en el expediente, manifiesta que la sentencia de fecha 23-10-2013 aplicó las leyes de emergencia y el principio de esfuerzo compartido quedando la deuda pesificada de acuerdo a la normativas de aquella época y aprobando la liquidación en la suma de $482.985,55.</w:t>
      </w:r>
    </w:p>
    <w:p>
      <w:pPr>
        <w:pStyle w:val="[Normal]"/>
        <w:spacing w:line="480" w:lineRule="auto"/>
        <w:jc w:val="both"/>
        <w:rPr>
          <w:lang w:val="es-AR" w:eastAsia="es-AR" w:bidi="es-AR"/>
        </w:rPr>
      </w:pPr>
      <w:r>
        <w:rPr>
          <w:lang w:val="es-AR" w:eastAsia="es-AR" w:bidi="es-AR"/>
        </w:rPr>
        <w:t xml:space="preserve">	A partir de ello sostiene que ya no se debe aplicar ni el esfuerzo compartido ni el interés de esa época, entendiendo que corresponde utilizar la tasa de interés vigente en los diversos períodos.</w:t>
      </w:r>
    </w:p>
    <w:p>
      <w:pPr>
        <w:pStyle w:val="[Normal]"/>
        <w:spacing w:line="480" w:lineRule="auto"/>
        <w:jc w:val="both"/>
        <w:rPr>
          <w:lang w:val="es-AR" w:eastAsia="es-AR" w:bidi="es-AR"/>
        </w:rPr>
      </w:pPr>
      <w:r>
        <w:rPr>
          <w:lang w:val="es-AR" w:eastAsia="es-AR" w:bidi="es-AR"/>
        </w:rPr>
        <w:t xml:space="preserve">	En consecuencia, achaca que el a-quo haya aplicado una tasa del 7,30% anual, puesto que con tasas actuales del 40% carece de toda razonabilidad y el principio de justicia equitativa se torna ilusorio.</w:t>
      </w:r>
    </w:p>
    <w:p>
      <w:pPr>
        <w:pStyle w:val="[Normal]"/>
        <w:spacing w:line="480" w:lineRule="auto"/>
        <w:jc w:val="both"/>
        <w:rPr>
          <w:lang w:val="es-AR" w:eastAsia="es-AR" w:bidi="es-AR"/>
        </w:rPr>
      </w:pPr>
      <w:r>
        <w:rPr>
          <w:lang w:val="es-AR" w:eastAsia="es-AR" w:bidi="es-AR"/>
        </w:rPr>
        <w:t xml:space="preserve">	Destaca que existe una clara y notaria desproporción entre las tasas de interés vigente en los diversos períodos y la utilizada por el magistrado. </w:t>
      </w:r>
    </w:p>
    <w:p>
      <w:pPr>
        <w:pStyle w:val="[Normal]"/>
        <w:spacing w:line="480" w:lineRule="auto"/>
        <w:jc w:val="both"/>
        <w:rPr>
          <w:lang w:val="es-AR" w:eastAsia="es-AR" w:bidi="es-AR"/>
        </w:rPr>
      </w:pPr>
      <w:r>
        <w:rPr>
          <w:lang w:val="es-AR" w:eastAsia="es-AR" w:bidi="es-AR"/>
        </w:rPr>
        <w:t xml:space="preserve">	En otro orden, y para el caso que este Tribunal considere de aplicación el CCyC, expresa que en su momento invocó los arts. 767 y 768 del citado cuerpo legal, y que los mismos no fueron considerados por el a-quo.</w:t>
      </w:r>
    </w:p>
    <w:p>
      <w:pPr>
        <w:pStyle w:val="[Normal]"/>
        <w:spacing w:line="480" w:lineRule="auto"/>
        <w:jc w:val="both"/>
        <w:rPr>
          <w:lang w:val="es-AR" w:eastAsia="es-AR" w:bidi="es-AR"/>
        </w:rPr>
      </w:pPr>
      <w:r>
        <w:rPr>
          <w:lang w:val="es-AR" w:eastAsia="es-AR" w:bidi="es-AR"/>
        </w:rPr>
        <w:t xml:space="preserve">	Resume su crítica afirmado que la sentencia es claramente arbitraría y que la facultad discrecional del juez no solo afecta la moral y el orden público, sino que lesiona el derecho de propiedad conculcando así elementales principios constitucionales. </w:t>
      </w:r>
    </w:p>
    <w:p>
      <w:pPr>
        <w:pStyle w:val="[Normal]"/>
        <w:spacing w:line="480" w:lineRule="auto"/>
        <w:jc w:val="both"/>
        <w:rPr>
          <w:lang w:val="es-AR" w:eastAsia="es-AR" w:bidi="es-AR"/>
        </w:rPr>
      </w:pPr>
      <w:r>
        <w:rPr>
          <w:lang w:val="es-AR" w:eastAsia="es-AR" w:bidi="es-AR"/>
        </w:rPr>
        <w:t xml:space="preserve">	Por último se agravia de la imposición de costas a su parte por entender que se aplican sin fundamento alguno y en clara violación del art. 3 CCyC, peticionando se apliquen en el orden causado.</w:t>
      </w:r>
    </w:p>
    <w:p>
      <w:pPr>
        <w:pStyle w:val="[Normal]"/>
        <w:spacing w:line="480" w:lineRule="auto"/>
        <w:jc w:val="both"/>
        <w:rPr>
          <w:lang w:val="es-AR" w:eastAsia="es-AR" w:bidi="es-AR"/>
        </w:rPr>
      </w:pPr>
      <w:r>
        <w:rPr>
          <w:lang w:val="es-AR" w:eastAsia="es-AR" w:bidi="es-AR"/>
        </w:rPr>
        <w:t xml:space="preserve">	Hace reserva del caso federal y solicita se haga lugar al recurso deducido fijando los intereses que razonablemente determine esta Alzada, teniendo en cuenta las fuertes variaciones monetarias existentes desde el 2013 a la fecha.</w:t>
      </w:r>
    </w:p>
    <w:p>
      <w:pPr>
        <w:pStyle w:val="[Normal]"/>
        <w:spacing w:line="480" w:lineRule="auto"/>
        <w:jc w:val="both"/>
        <w:rPr>
          <w:lang w:val="es-AR" w:eastAsia="es-AR" w:bidi="es-AR"/>
        </w:rPr>
      </w:pPr>
      <w:r>
        <w:rPr>
          <w:lang w:val="es-AR" w:eastAsia="es-AR" w:bidi="es-AR"/>
        </w:rPr>
        <w:t xml:space="preserve">	A su turno el Dr. Roberto Senés se agravia de los honorarios regulados a su favor por considerarlos bajos. </w:t>
      </w:r>
    </w:p>
    <w:p>
      <w:pPr>
        <w:pStyle w:val="[Normal]"/>
        <w:spacing w:line="480" w:lineRule="auto"/>
        <w:jc w:val="both"/>
        <w:rPr>
          <w:lang w:val="es-AR" w:eastAsia="es-AR" w:bidi="es-AR"/>
        </w:rPr>
      </w:pPr>
      <w:r>
        <w:rPr>
          <w:lang w:val="es-AR" w:eastAsia="es-AR" w:bidi="es-AR"/>
        </w:rPr>
        <w:t xml:space="preserve">	Manifiesta que la sentencia sólo hace mención a los arts. 22 y 47 de la Ley 14.967. En relación al primero de los artículos citados, sostiene que la regulación de honorarios de los abogados no puede ser inferior a 7 JUS, y dogmáticamente el juez le regula 4,44 JUS. </w:t>
      </w:r>
    </w:p>
    <w:p>
      <w:pPr>
        <w:pStyle w:val="[Normal]"/>
        <w:spacing w:line="480" w:lineRule="auto"/>
        <w:jc w:val="both"/>
        <w:rPr>
          <w:lang w:val="es-AR" w:eastAsia="es-AR" w:bidi="es-AR"/>
        </w:rPr>
      </w:pPr>
      <w:r>
        <w:rPr>
          <w:lang w:val="es-AR" w:eastAsia="es-AR" w:bidi="es-AR"/>
        </w:rPr>
        <w:t xml:space="preserve">	Adunando que el juez a-quo no explica de que manera aplica el art. 47 de la citada ley.</w:t>
      </w:r>
    </w:p>
    <w:p>
      <w:pPr>
        <w:pStyle w:val="[Normal]"/>
        <w:spacing w:line="480" w:lineRule="auto"/>
        <w:jc w:val="both"/>
        <w:rPr>
          <w:lang w:val="es-AR" w:eastAsia="es-AR" w:bidi="es-AR"/>
        </w:rPr>
      </w:pPr>
      <w:r>
        <w:rPr>
          <w:lang w:val="es-AR" w:eastAsia="es-AR" w:bidi="es-AR"/>
        </w:rPr>
        <w:t xml:space="preserve">	Asimismo refiere que se incumple con la carga impuesta por el art. 15 de la Ley 14.967, esto es fundar toda regulación de honorarios bajo pena de nulidad. </w:t>
      </w:r>
    </w:p>
    <w:p>
      <w:pPr>
        <w:pStyle w:val="[Normal]"/>
        <w:spacing w:line="480" w:lineRule="auto"/>
        <w:jc w:val="both"/>
        <w:rPr>
          <w:lang w:val="es-AR" w:eastAsia="es-AR" w:bidi="es-AR"/>
        </w:rPr>
      </w:pPr>
      <w:r>
        <w:rPr>
          <w:lang w:val="es-AR" w:eastAsia="es-AR" w:bidi="es-AR"/>
        </w:rPr>
        <w:t xml:space="preserve">	En su responde la demandada contesta el traslado conferido y señala que el escrito de agravios contradice la doctrina de los propios actos y que no cumple con la carga que impone el artículo 260 del código de rito.</w:t>
      </w:r>
    </w:p>
    <w:p>
      <w:pPr>
        <w:pStyle w:val="[Normal]"/>
        <w:spacing w:line="480" w:lineRule="auto"/>
        <w:jc w:val="both"/>
        <w:rPr>
          <w:b/>
          <w:lang w:val="es-AR" w:eastAsia="es-AR" w:bidi="es-AR"/>
        </w:rPr>
      </w:pPr>
      <w:r>
        <w:rPr>
          <w:rFonts w:ascii="Courier New" w:hAnsi="Courier New" w:eastAsia="Courier New" w:cs="Courier New"/>
          <w:lang w:val="es-AR" w:eastAsia="es-AR" w:bidi="es-AR"/>
        </w:rPr>
        <w:t xml:space="preserve">	</w:t>
      </w:r>
      <w:r>
        <w:rPr>
          <w:lang w:val="es-AR" w:eastAsia="es-AR" w:bidi="es-AR"/>
        </w:rPr>
        <w:t xml:space="preserve">Mediante escrito electrónico de fecha 25-6-2018, la actora controvierte los argumentos de la contraria solicitando se rechace el recurso deducido. </w:t>
      </w:r>
    </w:p>
    <w:p>
      <w:pPr>
        <w:pStyle w:val="[Normal]"/>
        <w:spacing w:line="480" w:lineRule="auto"/>
        <w:jc w:val="both"/>
        <w:rPr>
          <w:b/>
          <w:lang w:val="es-AR" w:eastAsia="es-AR" w:bidi="es-AR"/>
        </w:rPr>
      </w:pPr>
      <w:r>
        <w:rPr>
          <w:b/>
          <w:lang w:val="es-AR" w:eastAsia="es-AR" w:bidi="es-AR"/>
        </w:rPr>
        <w:t xml:space="preserve">	</w:t>
      </w:r>
      <w:r>
        <w:rPr>
          <w:color w:val="000000"/>
          <w:lang w:val="es-AR" w:eastAsia="es-AR" w:bidi="es-AR"/>
        </w:rPr>
        <w:t xml:space="preserve">En relación a la cuestión introducida expresamente por la parte demandada en su responde relativa al incumplimiento de los recaudos establecidos por el art. 260 del CPCC</w:t>
      </w:r>
      <w:r>
        <w:rPr>
          <w:lang w:val="es-AR" w:eastAsia="es-AR" w:bidi="es-AR"/>
        </w:rPr>
        <w:t xml:space="preserve">, cabe señalar que de la lectura del memorial arrimado por el Dr. Bottarini se advierte una crítica concreta y razonada del fallo apelado que abastece el umbral mínimo de exigencia previsto por el ritual en la materia, por lo que ha de desestimarse la pretensión deducida en este punto.</w:t>
      </w:r>
    </w:p>
    <w:p>
      <w:pPr>
        <w:pStyle w:val="[Normal]"/>
        <w:spacing w:line="480" w:lineRule="auto"/>
        <w:jc w:val="both"/>
        <w:rPr>
          <w:b/>
          <w:lang w:val="es-AR" w:eastAsia="es-AR" w:bidi="es-AR"/>
        </w:rPr>
      </w:pPr>
      <w:r>
        <w:rPr>
          <w:b/>
          <w:lang w:val="es-AR" w:eastAsia="es-AR" w:bidi="es-AR"/>
        </w:rPr>
        <w:t xml:space="preserve">	</w:t>
      </w:r>
      <w:r>
        <w:rPr>
          <w:lang w:val="es-AR" w:eastAsia="es-AR" w:bidi="es-AR"/>
        </w:rPr>
        <w:t xml:space="preserve">En cambio, si voy a dar tratamiento a los argumentos vertidos por la accionada en cuanto impugna la expresión de agravios basándose en que la misma contradice la doctrina de los propios actos.</w:t>
      </w:r>
    </w:p>
    <w:p>
      <w:pPr>
        <w:pStyle w:val="[Normal]"/>
        <w:spacing w:line="480" w:lineRule="auto"/>
        <w:jc w:val="both"/>
        <w:rPr>
          <w:lang w:val="es-AR" w:eastAsia="es-AR" w:bidi="es-AR"/>
        </w:rPr>
      </w:pPr>
      <w:r>
        <w:rPr>
          <w:b/>
          <w:lang w:val="es-AR" w:eastAsia="es-AR" w:bidi="es-AR"/>
        </w:rPr>
        <w:t xml:space="preserve">	</w:t>
      </w:r>
      <w:r>
        <w:rPr>
          <w:lang w:val="es-AR" w:eastAsia="es-AR" w:bidi="es-AR"/>
        </w:rPr>
        <w:t xml:space="preserve">En forma liminar debo destacar que el memorial allegado por la parte actora en lo que refiere a los agravios expuestos en relación a que corresponde la aplicación de una tasa de interés diferente a la utilizada tanto por su parte como la fijada por magistrado de grado, así como lo referente a los arts. 767, 768 y ccs. del CCyC no fueron materia propuesta al juez de la anterior instancia, por lo que en virtud de lo dispuesto por el art. 272 del CPCC, no pueden ser abordados en esta etapa revisora.</w:t>
      </w:r>
    </w:p>
    <w:p>
      <w:pPr>
        <w:pStyle w:val="[Normal]"/>
        <w:spacing w:line="480" w:lineRule="auto"/>
        <w:jc w:val="both"/>
        <w:rPr>
          <w:lang w:val="es-AR" w:eastAsia="es-AR" w:bidi="es-AR"/>
        </w:rPr>
      </w:pPr>
      <w:r>
        <w:rPr>
          <w:lang w:val="es-AR" w:eastAsia="es-AR" w:bidi="es-AR"/>
        </w:rPr>
        <w:t xml:space="preserve">	Ahora bien, ahondando sobre la temática de los actos propios, respecto de la queja vertida en referencia a la inaplicabilidad de la tasa de interés del 7,30% por tornarse inmoral y carecer de razonabilidad (cuando lo cierto es que la tasa aplicada en autos es del 7,50%) cabe señalar que de la presentación de fs. 394/5 surge con claridad que el Dr. Bottarini al practicar el pedido de ampliación de liquidación él mismo hizo referencia al CER y al esfuerzo compartido aplicando un tasa anual del 7,50%, lo que revela a las claras que lo manifestado por el recurrente en su impugnación supone una indebida modificación de la postura que asumiera en la presentación a la que hiciera referencia, resultando su propuesta recursiva contradictoria con su conducta relevante precedente. </w:t>
      </w:r>
    </w:p>
    <w:p>
      <w:pPr>
        <w:pStyle w:val="[Normal]"/>
        <w:spacing w:line="480" w:lineRule="auto"/>
        <w:jc w:val="both"/>
        <w:rPr>
          <w:lang w:val="es-AR" w:eastAsia="es-AR" w:bidi="es-AR"/>
        </w:rPr>
      </w:pPr>
      <w:r>
        <w:rPr>
          <w:lang w:val="es-AR" w:eastAsia="es-AR" w:bidi="es-AR"/>
        </w:rPr>
        <w:t xml:space="preserve">	Tal proceder encuentra un límite infranqueable en el principio de buena fe (art. 9 del CCyC) a partir del cual se funda la doctrina de los actos propios cuya lógica determina que: </w:t>
      </w:r>
      <w:r>
        <w:rPr>
          <w:i/>
          <w:lang w:val="es-AR" w:eastAsia="es-AR" w:bidi="es-AR"/>
        </w:rPr>
        <w:t xml:space="preserve">"Nadie puede ponerse en contradicción con sus propios actos, ejerciendo una conducta incompatible con una anterior deliberada, jurídicamente relevante y plenamente eficaz"</w:t>
      </w:r>
      <w:r>
        <w:rPr>
          <w:lang w:val="es-AR" w:eastAsia="es-AR" w:bidi="es-AR"/>
        </w:rPr>
        <w:t xml:space="preserve"> (v. SCBA, "Carpinetti, Raúl Jorge c/Fisco de la Prov. de Buenos Aires s/Daños y perjuicios", 17/06/1993). La consecuencia sistémica que deriva de ello es la desestimación del motivo de queja esgrimido en violación al mentado principio (conf. CAP </w:t>
      </w:r>
      <w:r>
        <w:rPr>
          <w:color w:val="000000"/>
          <w:lang w:val="es-AR" w:eastAsia="es-AR" w:bidi="es-AR"/>
        </w:rPr>
        <w:t xml:space="preserve">causas Nº 1962. RSD 84/2013 del 26-8-14, Nº 1426 RSD 181/2012 del 14/8-2014, N°</w:t>
      </w:r>
      <w:r>
        <w:rPr>
          <w:lang w:val="es-AR" w:eastAsia="es-AR" w:bidi="es-AR"/>
        </w:rPr>
        <w:t xml:space="preserve"> 2959 del 20-12-2018 RSD 199/2018, entre otras.).</w:t>
      </w:r>
    </w:p>
    <w:p>
      <w:pPr>
        <w:pStyle w:val="[Normal]"/>
        <w:spacing w:line="480" w:lineRule="auto"/>
        <w:jc w:val="both"/>
        <w:rPr>
          <w:lang w:val="es-AR" w:eastAsia="es-AR" w:bidi="es-AR"/>
        </w:rPr>
      </w:pPr>
      <w:r>
        <w:rPr>
          <w:lang w:val="es-AR" w:eastAsia="es-AR" w:bidi="es-AR"/>
        </w:rPr>
        <w:t xml:space="preserve">	No obstante lo expuesto, resulta de consideración adunar al respecto que por tratarse de una ampliación de liquidación, la misma debe efectuarse sobre las bases sentadas de la aprobada a fs. 266/9, confirmada luego por esta Alzada a fs. 306/9, en las cuales se evaluó y morigeró la tasa de interés.</w:t>
      </w:r>
    </w:p>
    <w:p>
      <w:pPr>
        <w:pStyle w:val="[Normal]"/>
        <w:spacing w:line="480" w:lineRule="auto"/>
        <w:jc w:val="both"/>
        <w:rPr>
          <w:lang w:val="es-AR" w:eastAsia="es-AR" w:bidi="es-AR"/>
        </w:rPr>
      </w:pPr>
      <w:r>
        <w:rPr>
          <w:lang w:val="es-AR" w:eastAsia="es-AR" w:bidi="es-AR"/>
        </w:rPr>
        <w:t xml:space="preserve">	En lo que atañe a la imposición de costas, estimo que el recurso deducido en este punto debe prosperar. Es que si se rechazó tanto la impugnación deducida por la demandada como así también la liquidación practicada por los accionantes, habiendo el propio juez a-quo efectuado la ampliación de la liquidación aprobada en autos a fs. 266/9, corresponde que las costas de primera instancia se impongan en el orden causado, en atención al vencimiento mutuo registrado (arts. 71 y ccs. del CPCC).</w:t>
      </w:r>
    </w:p>
    <w:p>
      <w:pPr>
        <w:pStyle w:val="[Normal]"/>
        <w:spacing w:line="480" w:lineRule="auto"/>
        <w:jc w:val="both"/>
        <w:rPr>
          <w:lang w:val="es-AR" w:eastAsia="es-AR" w:bidi="es-AR"/>
        </w:rPr>
      </w:pPr>
      <w:r>
        <w:rPr>
          <w:lang w:val="es-AR" w:eastAsia="es-AR" w:bidi="es-AR"/>
        </w:rPr>
        <w:t xml:space="preserve">	Consecuentemente, en función de la solución arribada en lo concerniente a la imposición de costas se difiere el tratamiento del recurso interpuesto por el Dr. Roberto Senés apelando por bajos los honorarios regulados a su favor, hasta tanto sean notificados los mismos en el domicilio real de su representada, a los efectos de su firmeza.</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Luciano C. Savignano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Acoger parcialmente el recurso interpuesto por la actora, y en su mérito, confirmar la sentencia atacada en lo principal que decide, modificando únicamente lo que respecta a la imposición de costas de primera instancia, las que se establecen en el orden causado (art. 70 y ccs. del CPCC).</w:t>
      </w:r>
    </w:p>
    <w:p>
      <w:pPr>
        <w:pStyle w:val="[Normal]"/>
        <w:spacing w:line="480" w:lineRule="auto"/>
        <w:ind w:firstLine="1134"/>
        <w:jc w:val="both"/>
        <w:rPr>
          <w:lang w:val="es-AR" w:eastAsia="es-AR" w:bidi="es-AR"/>
        </w:rPr>
      </w:pPr>
      <w:r>
        <w:rPr>
          <w:lang w:val="es-AR" w:eastAsia="es-AR" w:bidi="es-AR"/>
        </w:rPr>
        <w:t xml:space="preserve">Las costas de Alzada se imponen a la actora (art. 68/9 CPCC).</w:t>
      </w:r>
    </w:p>
    <w:p>
      <w:pPr>
        <w:pStyle w:val="[Normal]"/>
        <w:spacing w:line="480" w:lineRule="auto"/>
        <w:ind w:firstLine="1134"/>
        <w:jc w:val="both"/>
        <w:rPr>
          <w:lang w:val="es-AR" w:eastAsia="es-AR" w:bidi="es-AR"/>
        </w:rPr>
      </w:pPr>
      <w:r>
        <w:rPr>
          <w:lang w:val="es-AR" w:eastAsia="es-AR" w:bidi="es-AR"/>
        </w:rPr>
        <w:t xml:space="preserve">Regular los honorarios del Dr. Ambrosio Luis Bottarini por las tareas realizadas en esta sede en relación a la incidencia que aquí se resuelve, teniendo en cuenta el asunto, el valor, mérito y calidad jurídica de la labor desarrollada (fs. 469/41 y presentación electrónica de fecha 25-6-2018), el resultado obtenido en el pleito, la trascendencia económica y moral que para el interesado reviste la cuestión, lo que constituye la guía pertinente para llegar a una regulación justa y razonable, en la suma equivalente a 0,90 jus de unidad arancelaria (art. 24, 31 y ccs. Ley 14.967).</w:t>
      </w:r>
    </w:p>
    <w:p>
      <w:pPr>
        <w:pStyle w:val="[Normal]"/>
        <w:spacing w:line="480" w:lineRule="auto"/>
        <w:ind w:firstLine="1134"/>
        <w:jc w:val="both"/>
        <w:rPr>
          <w:lang w:val="es-AR" w:eastAsia="es-AR" w:bidi="es-AR"/>
        </w:rPr>
      </w:pPr>
      <w:r>
        <w:rPr>
          <w:lang w:val="es-AR" w:eastAsia="es-AR" w:bidi="es-AR"/>
        </w:rPr>
        <w:t xml:space="preserve">Diferir la regulación de honorarios del Dr. Roberto Senés para una vez que adquieran firmeza los fijados en primera instancia. </w:t>
      </w:r>
    </w:p>
    <w:p>
      <w:pPr>
        <w:pStyle w:val="[Normal]"/>
        <w:spacing w:line="480" w:lineRule="auto"/>
        <w:ind w:firstLine="1134"/>
        <w:jc w:val="both"/>
        <w:rPr>
          <w:lang w:val="es-AR" w:eastAsia="es-AR" w:bidi="es-AR"/>
        </w:rPr>
      </w:pPr>
      <w:r>
        <w:rPr>
          <w:lang w:val="es-AR" w:eastAsia="es-AR" w:bidi="es-AR"/>
        </w:rPr>
        <w:t xml:space="preserve">Diferir el tratamiento del recurso de apelación interpuesto por el Dr. Roberto Senés hasta tanto sean notificados en la instancia de origen los honorarios regulados a su favor en el domicilio real de su representada, a los efectos de su firmeza; debiéndose -asimismo- sustanciar el recurso deducido con respecto al Fondo de Apoyo Mutual entre Accionistas de Clínica Centro (F.A.M.A.C.C.).</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 Luciano C. Savignano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Acoger parcialmente el recurso interpuesto por la actora, y en su mérito, confirmar la sentencia atacada en lo principal que decide, modificando únicamente lo que respecta a la imposición de costas de primera instancia, las que se establecen en el orden causado (art. 70 y ccs. del CPCC).</w:t>
      </w:r>
    </w:p>
    <w:p>
      <w:pPr>
        <w:pStyle w:val="[Normal]"/>
        <w:spacing w:line="480" w:lineRule="auto"/>
        <w:ind w:firstLine="1134"/>
        <w:jc w:val="both"/>
        <w:rPr>
          <w:lang w:val="es-AR" w:eastAsia="es-AR" w:bidi="es-AR"/>
        </w:rPr>
      </w:pPr>
      <w:r>
        <w:rPr>
          <w:lang w:val="es-AR" w:eastAsia="es-AR" w:bidi="es-AR"/>
        </w:rPr>
        <w:t xml:space="preserve">Las costas de Alzada se imponen a la actora (art. 68/9 CPCC).</w:t>
      </w:r>
    </w:p>
    <w:p>
      <w:pPr>
        <w:pStyle w:val="[Normal]"/>
        <w:spacing w:line="480" w:lineRule="auto"/>
        <w:ind w:firstLine="1134"/>
        <w:jc w:val="both"/>
        <w:rPr>
          <w:lang w:val="es-AR" w:eastAsia="es-AR" w:bidi="es-AR"/>
        </w:rPr>
      </w:pPr>
      <w:r>
        <w:rPr>
          <w:lang w:val="es-AR" w:eastAsia="es-AR" w:bidi="es-AR"/>
        </w:rPr>
        <w:t xml:space="preserve">Regular los honorarios del Dr. Ambrosio Luis Bottarini por las tareas realizadas en esta sede en relación a la incidencia que aquí se resuelve, teniendo en cuenta el asunto, el valor, mérito y calidad jurídica de la labor desarrollada (fs. 469/41 y presentación electrónica de fecha 25-6-2018), el resultado obtenido en el pleito, la trascendencia económica y moral que para el interesado reviste la cuestión, lo que constituye la guía pertinente para llegar a una regulación justa y razonable, en la suma equivalente a 0,90 jus de unidad arancelaria (art. 24, 31 y ccs. Ley 14.967).</w:t>
      </w:r>
    </w:p>
    <w:p>
      <w:pPr>
        <w:pStyle w:val="[Normal]"/>
        <w:spacing w:line="480" w:lineRule="auto"/>
        <w:ind w:firstLine="1134"/>
        <w:jc w:val="both"/>
        <w:rPr>
          <w:lang w:val="es-AR" w:eastAsia="es-AR" w:bidi="es-AR"/>
        </w:rPr>
      </w:pPr>
      <w:r>
        <w:rPr>
          <w:lang w:val="es-AR" w:eastAsia="es-AR" w:bidi="es-AR"/>
        </w:rPr>
        <w:t xml:space="preserve">Diferir la regulación de honorarios del Dr. Roberto Senés para una vez que adquieran firmeza los fijados en primera instancia. </w:t>
      </w:r>
    </w:p>
    <w:p>
      <w:pPr>
        <w:pStyle w:val="[Normal]"/>
        <w:spacing w:line="480" w:lineRule="auto"/>
        <w:ind w:firstLine="1134"/>
        <w:jc w:val="both"/>
        <w:rPr>
          <w:lang w:val="es-AR" w:eastAsia="es-AR" w:bidi="es-AR"/>
        </w:rPr>
      </w:pPr>
      <w:r>
        <w:rPr>
          <w:lang w:val="es-AR" w:eastAsia="es-AR" w:bidi="es-AR"/>
        </w:rPr>
        <w:t xml:space="preserve">Diferir el tratamiento del recurso de apelación interpuesto por el Dr. Roberto Senés hasta tanto sean notificados en la instancia de origen los honorarios regulados a su favor en el domicilio real de su representada, a los efectos de su firmeza; debiéndose -asimismo- sustanciar el recurso deducido con respecto al Fondo de Apoyo Mutual entre Accionistas de Clínica Centro (F.A.M.A.C.C.).</w:t>
      </w:r>
    </w:p>
    <w:p>
      <w:pPr>
        <w:pStyle w:val="[Normal]"/>
        <w:spacing w:line="480" w:lineRule="auto"/>
        <w:ind w:firstLine="1134"/>
        <w:jc w:val="both"/>
        <w:rPr>
          <w:lang w:val="es-AR" w:eastAsia="es-AR" w:bidi="es-AR"/>
        </w:rPr>
      </w:pPr>
      <w:r>
        <w:rPr>
          <w:lang w:val="es-AR" w:eastAsia="es-AR" w:bidi="es-AR"/>
        </w:rPr>
        <w:t xml:space="preserve">Regístrese. Notifíquese (art. 54 Ley 14.967).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ind w:firstLine="1134"/>
        <w:jc w:val="right"/>
        <w:rPr>
          <w:b/>
          <w:color w:val="000000"/>
          <w:sz w:val="20"/>
          <w:lang w:val="es-AR" w:eastAsia="es-AR" w:bidi="es-AR"/>
        </w:rPr>
      </w:pPr>
      <w:r>
        <w:rPr>
          <w:b/>
          <w:color w:val="000000"/>
          <w:sz w:val="20"/>
          <w:lang w:val="es-AR" w:eastAsia="es-AR" w:bidi="es-AR"/>
        </w:rPr>
        <w:t xml:space="preserve">Roberto Manuel DEGLEUE                  </w:t>
      </w:r>
    </w:p>
    <w:p>
      <w:pPr>
        <w:pStyle w:val="[Normal]"/>
        <w:ind w:firstLine="1134"/>
        <w:jc w:val="right"/>
        <w:rPr>
          <w:b/>
          <w:color w:val="000000"/>
          <w:sz w:val="20"/>
          <w:lang w:val="es-AR" w:eastAsia="es-AR" w:bidi="es-AR"/>
        </w:rPr>
      </w:pPr>
      <w:r>
        <w:rPr>
          <w:b/>
          <w:color w:val="000000"/>
          <w:sz w:val="20"/>
          <w:lang w:val="es-AR" w:eastAsia="es-AR" w:bidi="es-AR"/>
        </w:rPr>
        <w:t xml:space="preserve">           Juez                                     </w:t>
      </w:r>
    </w:p>
    <w:p>
      <w:pPr>
        <w:pStyle w:val="[Normal]"/>
        <w:ind w:firstLine="1134"/>
        <w:jc w:val="both"/>
        <w:rPr>
          <w:b/>
          <w:color w:val="000000"/>
          <w:sz w:val="20"/>
          <w:lang w:val="es-AR" w:eastAsia="es-AR" w:bidi="es-AR"/>
        </w:rPr>
      </w:pPr>
      <w:r>
        <w:rPr>
          <w:b/>
          <w:color w:val="000000"/>
          <w:sz w:val="20"/>
          <w:lang w:val="es-AR" w:eastAsia="es-AR" w:bidi="es-AR"/>
        </w:rPr>
        <w:t xml:space="preserve">Luciano C. SAVIGNANO </w:t>
      </w:r>
    </w:p>
    <w:p>
      <w:pPr>
        <w:pStyle w:val="[Normal]"/>
        <w:ind w:firstLine="1134"/>
        <w:jc w:val="both"/>
        <w:rPr>
          <w:b/>
          <w:color w:val="000000"/>
          <w:sz w:val="20"/>
          <w:lang w:val="es-AR" w:eastAsia="es-AR" w:bidi="es-AR"/>
        </w:rPr>
      </w:pPr>
      <w:r>
        <w:rPr>
          <w:b/>
          <w:color w:val="000000"/>
          <w:sz w:val="20"/>
          <w:lang w:val="es-AR" w:eastAsia="es-AR" w:bidi="es-AR"/>
        </w:rPr>
        <w:t xml:space="preserve">               Juez</w:t>
      </w: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Nicolás MARTINEZ</w:t>
      </w:r>
    </w:p>
    <w:p>
      <w:pPr>
        <w:pStyle w:val="[Normal]"/>
        <w:ind w:firstLine="1134"/>
        <w:jc w:val="center"/>
        <w:rPr>
          <w:color w:val="000000"/>
          <w:lang w:val="es-AR" w:eastAsia="es-AR" w:bidi="es-AR"/>
        </w:rPr>
      </w:pPr>
      <w:r>
        <w:rPr>
          <w:b/>
          <w:color w:val="000000"/>
          <w:sz w:val="20"/>
          <w:lang w:val="es-AR" w:eastAsia="es-AR" w:bidi="es-AR"/>
        </w:rPr>
        <w:t xml:space="preserve">Auxiliar Letrado</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 w:name="Courier New">
    <w:charset w:val="00"/>
    <w:family w:val="modern"/>
    <w:pitch w:val="fixed"/>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