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2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9/11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05  de febrero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3419-18</w:t>
      </w:r>
      <w:r>
        <w:rPr>
          <w:lang w:val="es-AR" w:eastAsia="es-AR" w:bidi="es-AR"/>
        </w:rPr>
        <w:t xml:space="preserve"> caratulada </w:t>
      </w:r>
      <w:r>
        <w:rPr>
          <w:b/>
          <w:lang w:val="es-AR" w:eastAsia="es-AR" w:bidi="es-AR"/>
        </w:rPr>
        <w:t xml:space="preserve">"</w:t>
      </w:r>
      <w:r>
        <w:rPr>
          <w:b/>
          <w:color w:val="000000"/>
          <w:lang w:val="es-AR" w:eastAsia="es-AR" w:bidi="es-AR"/>
        </w:rPr>
        <w:t xml:space="preserve">DODDI EDUARDO OSCAR  C/ BANCO DE LA PROVINCIA DE BUENOS AIRES S/ EJECUCION HONORARIOS</w:t>
      </w:r>
      <w:r>
        <w:rPr>
          <w:b/>
          <w:lang w:val="es-AR" w:eastAsia="es-AR" w:bidi="es-AR"/>
        </w:rPr>
        <w:t xml:space="preserve">"</w:t>
      </w:r>
      <w:r>
        <w:rPr>
          <w:lang w:val="es-AR" w:eastAsia="es-AR" w:bidi="es-AR"/>
        </w:rPr>
        <w:t xml:space="preserve">, Expte. </w:t>
      </w:r>
      <w:r>
        <w:rPr>
          <w:color w:val="000000"/>
          <w:lang w:val="es-AR" w:eastAsia="es-AR" w:bidi="es-AR"/>
        </w:rPr>
        <w:t xml:space="preserve">72.276</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Manuel Degleue,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 </w:t>
      </w:r>
    </w:p>
    <w:p>
      <w:pPr>
        <w:pStyle w:val="[Normal]"/>
        <w:spacing w:line="480" w:lineRule="auto"/>
        <w:ind w:firstLine="1134"/>
        <w:jc w:val="both"/>
        <w:rPr>
          <w:lang w:val="es-AR" w:eastAsia="es-AR" w:bidi="es-AR"/>
        </w:rPr>
      </w:pPr>
      <w:r>
        <w:rPr>
          <w:lang w:val="es-AR" w:eastAsia="es-AR" w:bidi="es-AR"/>
        </w:rPr>
        <w:t xml:space="preserve">El Sr. Juez de primera instancia falló la presente rechazando la excepción de pago opuesta por el Banco Provincia de Buenos Aires y, en consecuencia, mandó  llevar  adelante la ejecución hasta tanto el ejecutado,  Banco de la Provincia de Buenos Aires, haga al acreedor, Dr. Eduardo Oscar Doddi,  íntegro pago de la suma de diecisiete mil doscientos setenta y cinco pesos ($17.275), con más sus respectivos intereses calculados a la tasa pasiva digital que pague el Bco. de la Pcia. de Bs. As. en sus depósitos a treinta días vigente en los distintos períodos de aplicación, a partir de la fecha de la mora (4-12-2017) y hasta el momento de su efectivo pago.  Impuso las costas al ejecutado y difirió la regulación de honorarios de los letrados intervinientes hasta tanto obre base firme para ello. </w:t>
      </w:r>
    </w:p>
    <w:p>
      <w:pPr>
        <w:pStyle w:val="[Normal]"/>
        <w:spacing w:line="480" w:lineRule="auto"/>
        <w:ind w:firstLine="1134"/>
        <w:jc w:val="both"/>
        <w:rPr>
          <w:lang w:val="es-AR" w:eastAsia="es-AR" w:bidi="es-AR"/>
        </w:rPr>
      </w:pPr>
      <w:r>
        <w:rPr>
          <w:lang w:val="es-AR" w:eastAsia="es-AR" w:bidi="es-AR"/>
        </w:rPr>
        <w:t xml:space="preserve">Disconforme con lo decidido, dedujo recurso de apelación la demandada mediante escrito electrónico de fecha 31-8-2018, concedido en relación a fs. 70, fundado al momento de su interposición, habiendo la contraria contestado el traslado conferido mediante el escrito electrónico de fecha 4-9-2018. </w:t>
      </w:r>
    </w:p>
    <w:p>
      <w:pPr>
        <w:pStyle w:val="[Normal]"/>
        <w:spacing w:line="480" w:lineRule="auto"/>
        <w:ind w:firstLine="1134"/>
        <w:jc w:val="both"/>
        <w:rPr>
          <w:lang w:val="es-AR" w:eastAsia="es-AR" w:bidi="es-AR"/>
        </w:rPr>
      </w:pPr>
      <w:r>
        <w:rPr>
          <w:lang w:val="es-AR" w:eastAsia="es-AR" w:bidi="es-AR"/>
        </w:rPr>
        <w:t xml:space="preserve">Elevados los autos pasan a resolver a fs. 72,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La quejosa se agravia del decisorio atacado por cuanto sostiene que los honorarios regulados al actor no fueron notificados mediante cédula con transcripción del artículo 54 de la ley arancelaria, y que el citado cuerpo legal prescribe en tal supuesto la nulidad de la ejecución por lo que la demanda debió ser rechazada in límine.</w:t>
      </w:r>
    </w:p>
    <w:p>
      <w:pPr>
        <w:pStyle w:val="[Normal]"/>
        <w:spacing w:line="480" w:lineRule="auto"/>
        <w:ind w:firstLine="1134"/>
        <w:jc w:val="both"/>
        <w:rPr>
          <w:lang w:val="es-AR" w:eastAsia="es-AR" w:bidi="es-AR"/>
        </w:rPr>
      </w:pPr>
      <w:r>
        <w:rPr>
          <w:lang w:val="es-AR" w:eastAsia="es-AR" w:bidi="es-AR"/>
        </w:rPr>
        <w:t xml:space="preserve">Disiente con el rechazo de la excepción de pago esgrimiendo que el pago que se efectuara al momento de diligenciar el mandamiento de intimación fue oportuno a los efectos de la procedencia de la excepción opuesta. </w:t>
      </w:r>
    </w:p>
    <w:p>
      <w:pPr>
        <w:pStyle w:val="[Normal]"/>
        <w:spacing w:line="480" w:lineRule="auto"/>
        <w:ind w:firstLine="1134"/>
        <w:jc w:val="both"/>
        <w:rPr>
          <w:lang w:val="es-AR" w:eastAsia="es-AR" w:bidi="es-AR"/>
        </w:rPr>
      </w:pPr>
      <w:r>
        <w:rPr>
          <w:lang w:val="es-AR" w:eastAsia="es-AR" w:bidi="es-AR"/>
        </w:rPr>
        <w:t xml:space="preserve">Hace reserva del caso federal, solicita se haga lugar al recurso deducido y se revoque el fallo atacado.</w:t>
      </w:r>
    </w:p>
    <w:p>
      <w:pPr>
        <w:pStyle w:val="[Normal]"/>
        <w:spacing w:line="480" w:lineRule="auto"/>
        <w:ind w:firstLine="1134"/>
        <w:jc w:val="both"/>
        <w:rPr>
          <w:lang w:val="es-AR" w:eastAsia="es-AR" w:bidi="es-AR"/>
        </w:rPr>
      </w:pPr>
      <w:r>
        <w:rPr>
          <w:lang w:val="es-AR" w:eastAsia="es-AR" w:bidi="es-AR"/>
        </w:rPr>
        <w:t xml:space="preserve">La contraria, al contestar el traslado conferido, solicita el rechazo de la apelación interpuesta, con costas. Sostiene que la notificación de sus honorarios se practicó en el domicilio real del Banco, con transcripción del art. 54 de la ley 8904, no obstante al inicio de la presente ejecución acompaña cédula al domicilio constituído en la que no consta el cumplimiento del referido requisito (fs. 7/8).</w:t>
      </w:r>
    </w:p>
    <w:p>
      <w:pPr>
        <w:pStyle w:val="[Normal]"/>
        <w:spacing w:line="480" w:lineRule="auto"/>
        <w:ind w:firstLine="1134"/>
        <w:jc w:val="both"/>
        <w:rPr>
          <w:lang w:val="es-AR" w:eastAsia="es-AR" w:bidi="es-AR"/>
        </w:rPr>
      </w:pPr>
      <w:r>
        <w:rPr>
          <w:lang w:val="es-AR" w:eastAsia="es-AR" w:bidi="es-AR"/>
        </w:rPr>
        <w:t xml:space="preserve">Entrando a resolver, coincido con el a-quo en que la entidad bancaria tomó conocimiento de la regulación practicada en el principal y la misma fue objeto de recurso de apelación y extraordinario, de su parte, adquiriendo firmeza luego de notificarse la resolución del Superior provincial (diligencia efectivizada el 17/11/2017). En consecuencia, a partir de allí son ejecutables y ha sido debidamente rechazado el planteo de nulidad de la ejecución iniciada (art. 58 ley 8904 en relación arts. 497/8 CPCC).</w:t>
      </w:r>
    </w:p>
    <w:p>
      <w:pPr>
        <w:pStyle w:val="[Normal]"/>
        <w:spacing w:line="480" w:lineRule="auto"/>
        <w:ind w:firstLine="1134"/>
        <w:jc w:val="both"/>
        <w:rPr>
          <w:lang w:val="es-AR" w:eastAsia="es-AR" w:bidi="es-AR"/>
        </w:rPr>
      </w:pPr>
      <w:r>
        <w:rPr>
          <w:lang w:val="es-AR" w:eastAsia="es-AR" w:bidi="es-AR"/>
        </w:rPr>
        <w:t xml:space="preserve">Asimismo, debo señalar que la ausencia de transcripción del art. 54 de la ley arancelaria "...no invalida el auto regulatorio ni la obligación que él genera, sino que resta eficacia al momento desde el cual corresponde se imputen los intereses moratorios..." (CC0002 SM 67987 1 181 S 06/11/2014) (conf. CAP N° 3347 del 11-12-2018 Reg. N° 195/2018, N° 3349 del 11-12-2018 Reg. N° 196/2018).</w:t>
      </w:r>
    </w:p>
    <w:p>
      <w:pPr>
        <w:pStyle w:val="[Normal]"/>
        <w:spacing w:line="480" w:lineRule="auto"/>
        <w:ind w:firstLine="1134"/>
        <w:jc w:val="both"/>
        <w:rPr>
          <w:lang w:val="es-AR" w:eastAsia="es-AR" w:bidi="es-AR"/>
        </w:rPr>
      </w:pPr>
      <w:r>
        <w:rPr>
          <w:lang w:val="es-AR" w:eastAsia="es-AR" w:bidi="es-AR"/>
        </w:rPr>
        <w:t xml:space="preserve">En lo que atañe al rechazo de la excepción de pago opuesta, el Banco demandado efectuó depósito en estos autos el día en que se diligenció el mandamiento de pago y embargo (10-4-2018, fs. 31/5), el que deviene inoportuno a los fines de la excepción mencionada -cuyo rechazo por el a-quo se ajusta a derecho-, en tanto se realizó con posterioridad a la ejecución que como se viera era procedente, y no reúne entonces las condiciones exigidas en relación a la temporaneidad del pago cancelatorio. Ello sin perjuicio, como señala el Juzgador, de que se efectúe la imputación correspondiente en la pertinente liquidación a practicar en el momento procesal oportuno.</w:t>
      </w:r>
    </w:p>
    <w:p>
      <w:pPr>
        <w:pStyle w:val="[Normal]"/>
        <w:spacing w:line="480" w:lineRule="auto"/>
        <w:ind w:firstLine="1134"/>
        <w:jc w:val="both"/>
        <w:rPr>
          <w:lang w:val="es-AR" w:eastAsia="es-AR" w:bidi="es-AR"/>
        </w:rPr>
      </w:pPr>
      <w:r>
        <w:rPr>
          <w:lang w:val="es-AR" w:eastAsia="es-AR" w:bidi="es-AR"/>
        </w:rPr>
        <w:t xml:space="preserve">Por todo lo expuesto, entiendo que debe confirmarse la sentencia dictada por el magistrado de primera instancia. </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Manuel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Costas de Alzada al apelante vencido (arts. 68/9 CPCC).</w:t>
      </w:r>
    </w:p>
    <w:p>
      <w:pPr>
        <w:pStyle w:val="[Normal]"/>
        <w:spacing w:line="480" w:lineRule="auto"/>
        <w:ind w:firstLine="1134"/>
        <w:jc w:val="both"/>
        <w:rPr>
          <w:lang w:val="es-AR" w:eastAsia="es-AR" w:bidi="es-AR"/>
        </w:rPr>
      </w:pPr>
      <w:r>
        <w:rPr>
          <w:lang w:val="es-AR" w:eastAsia="es-AR" w:bidi="es-AR"/>
        </w:rPr>
        <w:t xml:space="preserve">Diferir la regulación de honorarios hasta tanto obre la correspondiente a la instancia primera (art. 31 de la Ley 14.967).</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Manuel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Costas de Alzada al apelante vencido (arts. 68/9 CPCC).</w:t>
      </w:r>
    </w:p>
    <w:p>
      <w:pPr>
        <w:pStyle w:val="[Normal]"/>
        <w:spacing w:line="480" w:lineRule="auto"/>
        <w:ind w:firstLine="1134"/>
        <w:jc w:val="both"/>
        <w:rPr>
          <w:lang w:val="es-AR" w:eastAsia="es-AR" w:bidi="es-AR"/>
        </w:rPr>
      </w:pPr>
      <w:r>
        <w:rPr>
          <w:lang w:val="es-AR" w:eastAsia="es-AR" w:bidi="es-AR"/>
        </w:rPr>
        <w:t xml:space="preserve">Diferir la regulación de honorarios hasta tanto obre la correspondiente a la instancia primera (art. 31 de la Ley 14.967).</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spacing w:line="360" w:lineRule="auto"/>
        <w:rPr>
          <w:b/>
          <w:sz w:val="18"/>
          <w:lang w:val="es-AR" w:eastAsia="es-AR" w:bidi="es-AR"/>
        </w:rPr>
      </w:pPr>
    </w:p>
    <w:p>
      <w:pPr>
        <w:pStyle w:val="[Normal]"/>
        <w:spacing w:line="360" w:lineRule="auto"/>
        <w:jc w:val="center"/>
        <w:rPr>
          <w:b/>
          <w:sz w:val="18"/>
          <w:lang w:val="es-AR" w:eastAsia="es-AR" w:bidi="es-AR"/>
        </w:rPr>
      </w:pPr>
      <w:r>
        <w:rPr>
          <w:b/>
          <w:sz w:val="18"/>
          <w:lang w:val="es-AR" w:eastAsia="es-AR" w:bidi="es-AR"/>
        </w:rPr>
        <w:t xml:space="preserve">Graciela Scaraffia  </w:t>
      </w:r>
    </w:p>
    <w:p>
      <w:pPr>
        <w:pStyle w:val="[Normal]"/>
        <w:spacing w:line="360" w:lineRule="auto"/>
        <w:jc w:val="center"/>
        <w:rPr>
          <w:b/>
          <w:sz w:val="18"/>
          <w:lang w:val="es-AR" w:eastAsia="es-AR" w:bidi="es-AR"/>
        </w:rPr>
      </w:pPr>
      <w:r>
        <w:rPr>
          <w:b/>
          <w:sz w:val="18"/>
          <w:lang w:val="es-AR" w:eastAsia="es-AR" w:bidi="es-AR"/>
        </w:rPr>
        <w:t xml:space="preserve">Presidenta</w:t>
      </w:r>
    </w:p>
    <w:p>
      <w:pPr>
        <w:pStyle w:val="[Normal]"/>
        <w:spacing w:line="360" w:lineRule="auto"/>
        <w:jc w:val="center"/>
        <w:rPr>
          <w:b/>
          <w:sz w:val="18"/>
          <w:lang w:val="es-AR" w:eastAsia="es-AR" w:bidi="es-AR"/>
        </w:rPr>
      </w:pPr>
      <w:r>
        <w:rPr>
          <w:b/>
          <w:sz w:val="18"/>
          <w:lang w:val="es-AR" w:eastAsia="es-AR" w:bidi="es-AR"/>
        </w:rPr>
        <w:t xml:space="preserve">Cámara de Apelación  en lo Civil y Comercial </w:t>
      </w:r>
    </w:p>
    <w:p>
      <w:pPr>
        <w:pStyle w:val="[Normal]"/>
        <w:spacing w:line="360" w:lineRule="auto"/>
        <w:jc w:val="center"/>
        <w:rPr>
          <w:b/>
          <w:sz w:val="18"/>
          <w:lang w:val="es-AR" w:eastAsia="es-AR" w:bidi="es-AR"/>
        </w:rPr>
      </w:pPr>
      <w:r>
        <w:rPr>
          <w:b/>
          <w:sz w:val="18"/>
          <w:lang w:val="es-AR" w:eastAsia="es-AR" w:bidi="es-AR"/>
        </w:rPr>
        <w:t xml:space="preserve">Dpto. Judicial Pergamino </w:t>
      </w:r>
    </w:p>
    <w:p>
      <w:pPr>
        <w:pStyle w:val="[Normal]"/>
        <w:spacing w:line="360" w:lineRule="auto"/>
        <w:jc w:val="center"/>
        <w:rPr>
          <w:b/>
          <w:sz w:val="18"/>
          <w:lang w:val="es-AR" w:eastAsia="es-AR" w:bidi="es-AR"/>
        </w:rPr>
      </w:pPr>
    </w:p>
    <w:p>
      <w:pPr>
        <w:pStyle w:val="[Normal]"/>
        <w:spacing w:line="360" w:lineRule="auto"/>
        <w:rPr>
          <w:b/>
          <w:sz w:val="18"/>
          <w:lang w:val="es-AR" w:eastAsia="es-AR" w:bidi="es-AR"/>
        </w:rPr>
      </w:pPr>
      <w:r>
        <w:rPr>
          <w:b/>
          <w:sz w:val="18"/>
          <w:lang w:val="es-AR" w:eastAsia="es-AR" w:bidi="es-AR"/>
        </w:rPr>
        <w:t xml:space="preserve">Roberto Manuel Degleue</w:t>
      </w:r>
    </w:p>
    <w:p>
      <w:pPr>
        <w:pStyle w:val="[Normal]"/>
        <w:spacing w:line="360" w:lineRule="auto"/>
        <w:rPr>
          <w:b/>
          <w:sz w:val="18"/>
          <w:lang w:val="es-AR" w:eastAsia="es-AR" w:bidi="es-AR"/>
        </w:rPr>
      </w:pPr>
      <w:r>
        <w:rPr>
          <w:b/>
          <w:sz w:val="18"/>
          <w:lang w:val="es-AR" w:eastAsia="es-AR" w:bidi="es-AR"/>
        </w:rPr>
        <w:t xml:space="preserve">                 Juez</w:t>
      </w:r>
    </w:p>
    <w:p>
      <w:pPr>
        <w:pStyle w:val="[Normal]"/>
        <w:spacing w:line="360" w:lineRule="auto"/>
        <w:jc w:val="center"/>
        <w:rPr>
          <w:b/>
          <w:sz w:val="18"/>
          <w:lang w:val="es-AR" w:eastAsia="es-AR" w:bidi="es-AR"/>
        </w:rPr>
      </w:pPr>
      <w:r>
        <w:rPr>
          <w:b/>
          <w:sz w:val="18"/>
          <w:lang w:val="es-AR" w:eastAsia="es-AR" w:bidi="es-AR"/>
        </w:rPr>
        <w:t xml:space="preserve">Nicolás MARTINEZ</w:t>
      </w:r>
    </w:p>
    <w:p>
      <w:pPr>
        <w:pStyle w:val="[Normal]"/>
        <w:spacing w:line="360" w:lineRule="auto"/>
        <w:jc w:val="center"/>
        <w:rPr>
          <w:b/>
          <w:sz w:val="18"/>
          <w:lang w:val="es-AR" w:eastAsia="es-AR" w:bidi="es-AR"/>
        </w:rPr>
      </w:pPr>
      <w:r>
        <w:rPr>
          <w:b/>
          <w:sz w:val="18"/>
          <w:lang w:val="es-AR" w:eastAsia="es-AR" w:bidi="es-AR"/>
        </w:rPr>
        <w:t xml:space="preserve">Auxiliar Letrado</w:t>
      </w:r>
    </w:p>
    <w:p>
      <w:pPr>
        <w:pStyle w:val="[Normal]"/>
        <w:rPr>
          <w:b/>
          <w:sz w:val="18"/>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