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bin" ContentType="application/vnd.openxmlformats-officedocument.oleObject"/>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 Id="rId00002" Type="http://schemas.openxmlformats.org/package/2006/relationships/metadata/core-properties" Target="docProps/core.xml"/>
	<Relationship Id="rId00003"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mc="http://schemas.openxmlformats.org/markup-compatibility/2006" xmlns:w14="http://schemas.microsoft.com/office/word/2010/wordml" xmlns:w15="http://schemas.microsoft.com/office/word/2012/wordml" xmlns:tx19="http://schemas.textcontrol.com/tx/1900" mc:Ignorable="w14 w15 tx19">
  <w:body>
    <w:p>
      <w:pPr>
        <w:pStyle w:val="[Normal]"/>
        <w:spacing w:line="480" w:lineRule="auto"/>
        <w:ind w:firstLine="1134"/>
        <w:jc w:val="both"/>
        <w:rPr>
          <w:lang w:val="es-AR" w:eastAsia="es-AR" w:bidi="es-AR"/>
        </w:rPr>
      </w:pPr>
      <w:r>
        <w:rPr>
          <w:sz w:val="20"/>
          <w:lang w:val="es-AR" w:eastAsia="es-AR" w:bidi="es-AR"/>
        </w:rPr>
        <w:t xml:space="preserve"> </w:t>
      </w:r>
      <w:r>
        <w:rPr>
          <w:b/>
          <w:lang w:val="es-AR" w:eastAsia="es-AR" w:bidi="es-AR"/>
        </w:rPr>
        <w:t xml:space="preserve">Registro N°  13  /</w:t>
      </w:r>
      <w:r>
        <w:rPr>
          <w:b/>
          <w:color w:val="000000"/>
          <w:lang w:val="es-AR" w:eastAsia="es-AR" w:bidi="es-AR"/>
        </w:rPr>
        <w:t xml:space="preserve">2019</w:t>
      </w:r>
      <w:r>
        <w:rPr>
          <w:color w:val="000000"/>
          <w:lang w:val="es-AR" w:eastAsia="es-AR" w:bidi="es-AR"/>
        </w:rPr>
        <w:t xml:space="preserve"> </w:t>
      </w:r>
    </w:p>
    <w:p>
      <w:pPr>
        <w:pStyle w:val="[Normal]"/>
        <w:spacing w:line="480" w:lineRule="auto"/>
        <w:ind w:firstLine="1134"/>
        <w:jc w:val="both"/>
        <w:rPr>
          <w:lang w:val="es-AR" w:eastAsia="es-AR" w:bidi="es-AR"/>
        </w:rPr>
      </w:pPr>
      <w:r>
        <w:rPr>
          <w:b/>
          <w:lang w:val="es-AR" w:eastAsia="es-AR" w:bidi="es-AR"/>
        </w:rPr>
        <w:t xml:space="preserve">Fojas  63</w:t>
      </w:r>
    </w:p>
    <w:p>
      <w:pPr>
        <w:pStyle w:val="[Normal]"/>
        <w:spacing w:line="480" w:lineRule="auto"/>
        <w:ind w:firstLine="1134"/>
        <w:jc w:val="both"/>
        <w:rPr>
          <w:lang w:val="es-AR" w:eastAsia="es-AR" w:bidi="es-AR"/>
        </w:rPr>
      </w:pPr>
    </w:p>
    <w:p>
      <w:pPr>
        <w:pStyle w:val="[Normal]"/>
        <w:spacing w:line="480" w:lineRule="auto"/>
        <w:ind w:firstLine="1134"/>
        <w:jc w:val="both"/>
        <w:rPr>
          <w:b/>
          <w:lang w:val="es-AR" w:eastAsia="es-AR" w:bidi="es-AR"/>
        </w:rPr>
      </w:pPr>
      <w:r>
        <w:rPr>
          <w:lang w:val="es-AR" w:eastAsia="es-AR" w:bidi="es-AR"/>
        </w:rPr>
        <w:t xml:space="preserve">En la ciudad de Pergamino, el   19   de febrero de </w:t>
      </w:r>
      <w:r>
        <w:rPr>
          <w:color w:val="000000"/>
          <w:lang w:val="es-AR" w:eastAsia="es-AR" w:bidi="es-AR"/>
        </w:rPr>
        <w:t xml:space="preserve">2019</w:t>
      </w:r>
      <w:r>
        <w:rPr>
          <w:lang w:val="es-AR" w:eastAsia="es-AR" w:bidi="es-AR"/>
        </w:rPr>
        <w:t xml:space="preserve">, reunidos en Acuerdo Ordinario los Sres. Jueces de la Excma. Cámara de Apelación en lo Civil y Comercial del Departamento Judicial Pergamino, para dictar sentencia en la causa N° </w:t>
      </w:r>
      <w:r>
        <w:rPr>
          <w:b/>
          <w:color w:val="000000"/>
          <w:lang w:val="es-AR" w:eastAsia="es-AR" w:bidi="es-AR"/>
        </w:rPr>
        <w:t xml:space="preserve">3402-18</w:t>
      </w:r>
      <w:r>
        <w:rPr>
          <w:lang w:val="es-AR" w:eastAsia="es-AR" w:bidi="es-AR"/>
        </w:rPr>
        <w:t xml:space="preserve"> caratulados </w:t>
      </w:r>
      <w:r>
        <w:rPr>
          <w:b/>
          <w:lang w:val="es-AR" w:eastAsia="es-AR" w:bidi="es-AR"/>
        </w:rPr>
        <w:t xml:space="preserve">"</w:t>
      </w:r>
      <w:r>
        <w:rPr>
          <w:b/>
          <w:color w:val="000000"/>
          <w:lang w:val="es-AR" w:eastAsia="es-AR" w:bidi="es-AR"/>
        </w:rPr>
        <w:t xml:space="preserve">DODDI EDUARDO OSCAR  C/ BANCO DE LA PROVINCIA DE BUENOS AIRES S/ EJECUCION HONORARIOS</w:t>
      </w:r>
      <w:r>
        <w:rPr>
          <w:b/>
          <w:lang w:val="es-AR" w:eastAsia="es-AR" w:bidi="es-AR"/>
        </w:rPr>
        <w:t xml:space="preserve">"</w:t>
      </w:r>
      <w:r>
        <w:rPr>
          <w:lang w:val="es-AR" w:eastAsia="es-AR" w:bidi="es-AR"/>
        </w:rPr>
        <w:t xml:space="preserve">, Expte. N° </w:t>
      </w:r>
      <w:r>
        <w:rPr>
          <w:color w:val="000000"/>
          <w:lang w:val="es-AR" w:eastAsia="es-AR" w:bidi="es-AR"/>
        </w:rPr>
        <w:t xml:space="preserve">-72181-</w:t>
      </w:r>
      <w:r>
        <w:rPr>
          <w:lang w:val="es-AR" w:eastAsia="es-AR" w:bidi="es-AR"/>
        </w:rPr>
        <w:t xml:space="preserve"> del </w:t>
      </w:r>
      <w:r>
        <w:rPr>
          <w:color w:val="000000"/>
          <w:lang w:val="es-AR" w:eastAsia="es-AR" w:bidi="es-AR"/>
        </w:rPr>
        <w:t xml:space="preserve">Juzgado en lo Civil y Comercial N° 1 </w:t>
      </w:r>
      <w:r>
        <w:rPr>
          <w:lang w:val="es-AR" w:eastAsia="es-AR" w:bidi="es-AR"/>
        </w:rPr>
        <w:t xml:space="preserve">departamental, encontrándose el Dr. Roberto Manuel Degleue excusado a fs. </w:t>
      </w:r>
      <w:r>
        <w:rPr>
          <w:color w:val="000000"/>
          <w:lang w:val="es-AR" w:eastAsia="es-AR" w:bidi="es-AR"/>
        </w:rPr>
        <w:t xml:space="preserve">85</w:t>
      </w:r>
      <w:r>
        <w:rPr>
          <w:lang w:val="es-AR" w:eastAsia="es-AR" w:bidi="es-AR"/>
        </w:rPr>
        <w:t xml:space="preserve">, se ordenó la integración de este Tribunal y se practicó el sorteo de ley que determinó que la votación debía efectuarse en el siguiente orden: Dres. Graciela Scaraffia y Luciano C. Savignano, estudiados los autos se resolvió plantear y votar las siguientes: </w:t>
      </w:r>
    </w:p>
    <w:p>
      <w:pPr>
        <w:pStyle w:val="[Normal]"/>
        <w:spacing w:line="480" w:lineRule="auto"/>
        <w:ind w:firstLine="1134"/>
        <w:jc w:val="both"/>
        <w:rPr>
          <w:lang w:val="es-AR" w:eastAsia="es-AR" w:bidi="es-AR"/>
        </w:rPr>
      </w:pPr>
      <w:r>
        <w:rPr>
          <w:b/>
          <w:u w:val="single"/>
          <w:lang w:val="es-AR" w:eastAsia="es-AR" w:bidi="es-AR"/>
        </w:rPr>
        <w:t xml:space="preserve">C U E S T I O N E S:</w:t>
      </w:r>
    </w:p>
    <w:p>
      <w:pPr>
        <w:pStyle w:val="[Normal]"/>
        <w:spacing w:line="480" w:lineRule="auto"/>
        <w:ind w:firstLine="1134"/>
        <w:jc w:val="both"/>
        <w:rPr>
          <w:lang w:val="es-AR" w:eastAsia="es-AR" w:bidi="es-AR"/>
        </w:rPr>
      </w:pPr>
      <w:r>
        <w:rPr>
          <w:lang w:val="es-AR" w:eastAsia="es-AR" w:bidi="es-AR"/>
        </w:rPr>
        <w:t xml:space="preserve">I) ¿Se ajusta a derecho la sentencia apelada?.</w:t>
      </w:r>
    </w:p>
    <w:p>
      <w:pPr>
        <w:pStyle w:val="[Normal]"/>
        <w:spacing w:line="480" w:lineRule="auto"/>
        <w:ind w:firstLine="1134"/>
        <w:jc w:val="both"/>
        <w:rPr>
          <w:lang w:val="es-AR" w:eastAsia="es-AR" w:bidi="es-AR"/>
        </w:rPr>
      </w:pPr>
      <w:r>
        <w:rPr>
          <w:lang w:val="es-AR" w:eastAsia="es-AR" w:bidi="es-AR"/>
        </w:rPr>
        <w:t xml:space="preserve">II) ¿Qué pronunciamiento corresponde dictar?.</w:t>
      </w:r>
    </w:p>
    <w:p>
      <w:pPr>
        <w:pStyle w:val="[Normal]"/>
        <w:spacing w:line="480" w:lineRule="auto"/>
        <w:ind w:firstLine="1134"/>
        <w:jc w:val="both"/>
        <w:rPr>
          <w:lang w:val="es-AR" w:eastAsia="es-AR" w:bidi="es-AR"/>
        </w:rPr>
      </w:pPr>
      <w:r>
        <w:rPr>
          <w:lang w:val="es-AR" w:eastAsia="es-AR" w:bidi="es-AR"/>
        </w:rPr>
        <w:t xml:space="preserve">A la primera cuestión la señora Jueza </w:t>
      </w:r>
      <w:r>
        <w:rPr>
          <w:color w:val="000000"/>
          <w:lang w:val="es-AR" w:eastAsia="es-AR" w:bidi="es-AR"/>
        </w:rPr>
        <w:t xml:space="preserve">Graciela Scaraffia </w:t>
      </w:r>
      <w:r>
        <w:rPr>
          <w:lang w:val="es-AR" w:eastAsia="es-AR" w:bidi="es-AR"/>
        </w:rPr>
        <w:t xml:space="preserve"> dijo:</w:t>
      </w:r>
    </w:p>
    <w:p>
      <w:pPr>
        <w:pStyle w:val="[Normal]"/>
        <w:spacing w:line="480" w:lineRule="auto"/>
        <w:ind w:firstLine="1134"/>
        <w:jc w:val="both"/>
        <w:rPr>
          <w:lang w:val="es-AR" w:eastAsia="es-AR" w:bidi="es-AR"/>
        </w:rPr>
      </w:pPr>
      <w:r>
        <w:rPr>
          <w:lang w:val="es-AR" w:eastAsia="es-AR" w:bidi="es-AR"/>
        </w:rPr>
        <w:t xml:space="preserve">El Sr. Juez de primera instancia falló la presente rechazando la excepción de pago opuesta por el Banco Provincia de Buenos Aires y, en consecuencia, mandó  llevar  adelante la ejecución hasta tanto el ejecutado,  Banco de la Provincia de Buenos Aires, haga al acreedor, Dr. Eduardo Oscar Doddi,  íntegro pago de la suma de once mil ochocientos pesos ($11.800), con más sus respectivos intereses calculados a la tasa pasiva digital que pague el Bco. de la Pcia. de Bs. As. en sus depósitos a treinta días vigente en los distintos períodos de aplicación, a partir de la fecha de la mora (27-12-2017) y hasta el momento de su efectivo pago. Impuso las costas al ejecutado y difirió la regulación de honorarios de los letrados intervinientes hasta tanto obre base firme para ello. </w:t>
      </w:r>
    </w:p>
    <w:p>
      <w:pPr>
        <w:pStyle w:val="[Normal]"/>
        <w:spacing w:line="480" w:lineRule="auto"/>
        <w:ind w:firstLine="1134"/>
        <w:jc w:val="both"/>
        <w:rPr>
          <w:lang w:val="es-AR" w:eastAsia="es-AR" w:bidi="es-AR"/>
        </w:rPr>
      </w:pPr>
      <w:r>
        <w:rPr>
          <w:lang w:val="es-AR" w:eastAsia="es-AR" w:bidi="es-AR"/>
        </w:rPr>
        <w:t xml:space="preserve">Disconforme con lo decidido, dedujo recurso de apelación la demandada mediante escrito electrónico de fecha 21-8-2018, concedido en relación a fs. 69, fundado al momento de su interposición, habiendo la contraria contestado el traslado conferido mediante el escrito electrónico de fecha 24-8-2018. </w:t>
      </w:r>
    </w:p>
    <w:p>
      <w:pPr>
        <w:pStyle w:val="[Normal]"/>
        <w:spacing w:line="480" w:lineRule="auto"/>
        <w:ind w:firstLine="1134"/>
        <w:jc w:val="both"/>
        <w:rPr>
          <w:lang w:val="es-AR" w:eastAsia="es-AR" w:bidi="es-AR"/>
        </w:rPr>
      </w:pPr>
      <w:r>
        <w:rPr>
          <w:lang w:val="es-AR" w:eastAsia="es-AR" w:bidi="es-AR"/>
        </w:rPr>
        <w:t xml:space="preserve">Elevados los autos pasan a resolver a fs. 89, providencia que firme a la fecha deja la causa en condiciones de ser fallada.</w:t>
      </w:r>
    </w:p>
    <w:p>
      <w:pPr>
        <w:pStyle w:val="[Normal]"/>
        <w:spacing w:line="480" w:lineRule="auto"/>
        <w:ind w:firstLine="1134"/>
        <w:jc w:val="both"/>
        <w:rPr>
          <w:lang w:val="es-AR" w:eastAsia="es-AR" w:bidi="es-AR"/>
        </w:rPr>
      </w:pPr>
      <w:r>
        <w:rPr>
          <w:lang w:val="es-AR" w:eastAsia="es-AR" w:bidi="es-AR"/>
        </w:rPr>
        <w:t xml:space="preserve">La quejosa se agravia del decisorio atacado por cuanto sostiene que los honorarios regulados al actor no fueron notificados mediante cédula con transcripción del artículo 54 de la ley arancelaria, y que el citado cuerpo legal prescribe en tal supuesto la nulidad de la ejecución por lo que la demanda debió ser rechazada in límine.</w:t>
      </w:r>
    </w:p>
    <w:p>
      <w:pPr>
        <w:pStyle w:val="[Normal]"/>
        <w:spacing w:line="480" w:lineRule="auto"/>
        <w:ind w:firstLine="1134"/>
        <w:jc w:val="both"/>
        <w:rPr>
          <w:lang w:val="es-AR" w:eastAsia="es-AR" w:bidi="es-AR"/>
        </w:rPr>
      </w:pPr>
      <w:r>
        <w:rPr>
          <w:lang w:val="es-AR" w:eastAsia="es-AR" w:bidi="es-AR"/>
        </w:rPr>
        <w:t xml:space="preserve">Disiente con el rechazo de la excepción de pago esgrimiendo que el pago que se efectuara al momento de diligenciar el mandamiento de intimación fue oportuno a los efectos de la procedencia de la excepción opuesta. </w:t>
      </w:r>
    </w:p>
    <w:p>
      <w:pPr>
        <w:pStyle w:val="[Normal]"/>
        <w:spacing w:line="480" w:lineRule="auto"/>
        <w:ind w:firstLine="1134"/>
        <w:jc w:val="both"/>
        <w:rPr>
          <w:lang w:val="es-AR" w:eastAsia="es-AR" w:bidi="es-AR"/>
        </w:rPr>
      </w:pPr>
      <w:r>
        <w:rPr>
          <w:lang w:val="es-AR" w:eastAsia="es-AR" w:bidi="es-AR"/>
        </w:rPr>
        <w:t xml:space="preserve">Hace reserva del caso federal, solicita se haga lugar al recurso deducido y se revoque el fallo atacado.</w:t>
      </w:r>
    </w:p>
    <w:p>
      <w:pPr>
        <w:pStyle w:val="[Normal]"/>
        <w:spacing w:line="480" w:lineRule="auto"/>
        <w:ind w:firstLine="1134"/>
        <w:jc w:val="both"/>
        <w:rPr>
          <w:lang w:val="es-AR" w:eastAsia="es-AR" w:bidi="es-AR"/>
        </w:rPr>
      </w:pPr>
      <w:r>
        <w:rPr>
          <w:lang w:val="es-AR" w:eastAsia="es-AR" w:bidi="es-AR"/>
        </w:rPr>
        <w:t xml:space="preserve">La contraria, al contestar el traslado conferido, solicita el rechazo de la apelación interpuesta, con costas. Sostiene que la notificación de sus honorarios se practicó en el domicilio real del Banco, con transcripción del art. 54 de la ley 8904, no obstante al inicio de la presente ejecución acompaña cédula al domicilio constituído en la que no consta el cumplimiento del referido requisito (fs. 12/3).</w:t>
      </w:r>
    </w:p>
    <w:p>
      <w:pPr>
        <w:pStyle w:val="[Normal]"/>
        <w:spacing w:line="480" w:lineRule="auto"/>
        <w:ind w:firstLine="1134"/>
        <w:jc w:val="both"/>
        <w:rPr>
          <w:lang w:val="es-AR" w:eastAsia="es-AR" w:bidi="es-AR"/>
        </w:rPr>
      </w:pPr>
      <w:r>
        <w:rPr>
          <w:lang w:val="es-AR" w:eastAsia="es-AR" w:bidi="es-AR"/>
        </w:rPr>
        <w:t xml:space="preserve">Entrando a resolver, coincido con el a-quo en que la entidad bancaria tomó conocimiento de la regulación practicada en el principal y la misma fue objeto de recurso de apelación y extraordinario, de su parte, adquiriendo firmeza luego notificarse la resolución de esta Alzada que no concede el recurso extraordinario interpuesto (diligencia efectivizada el 12/12/2017). En consecuencia, a partir de allí son ejecutables y ha sido debidamente rechazado el planteo de nulidad de la ejecución iniciada (art. 58 ley 8904 en relación arts. 497/8 CPCC).</w:t>
      </w:r>
    </w:p>
    <w:p>
      <w:pPr>
        <w:pStyle w:val="[Normal]"/>
        <w:spacing w:line="480" w:lineRule="auto"/>
        <w:ind w:firstLine="1134"/>
        <w:jc w:val="both"/>
        <w:rPr>
          <w:lang w:val="es-AR" w:eastAsia="es-AR" w:bidi="es-AR"/>
        </w:rPr>
      </w:pPr>
      <w:r>
        <w:rPr>
          <w:lang w:val="es-AR" w:eastAsia="es-AR" w:bidi="es-AR"/>
        </w:rPr>
        <w:t xml:space="preserve">Asimismo, debo señalar que la ausencia de transcripción del art. 54 de la ley arancelaria "...no invalida el auto regulatorio ni la obligación que él genera, sino que resta eficacia al momento desde el cual corresponde se imputen los intereses moratorios..." (CC0002 SM 67987 1 181 S 06/11/2014) (conf. CAP N° 3347 del 11-12-2018 Reg. N° 195/2018, N° 3349 del 11-12-2018 Reg. N° 196/2018).</w:t>
      </w:r>
    </w:p>
    <w:p>
      <w:pPr>
        <w:pStyle w:val="[Normal]"/>
        <w:spacing w:line="480" w:lineRule="auto"/>
        <w:ind w:firstLine="1134"/>
        <w:jc w:val="both"/>
        <w:rPr>
          <w:lang w:val="es-AR" w:eastAsia="es-AR" w:bidi="es-AR"/>
        </w:rPr>
      </w:pPr>
      <w:r>
        <w:rPr>
          <w:lang w:val="es-AR" w:eastAsia="es-AR" w:bidi="es-AR"/>
        </w:rPr>
        <w:t xml:space="preserve">En lo que atañe al rechazo de la excepción de pago opuesta, el Banco demandado efectuó depósito en estos autos el día en que se diligenció el mandamiento de pago y embargo (10-4-2018, fs. 33/5), el que deviene inoportuno a los fines de la excepción mencionada -cuyo rechazo por el a-quo se ajusta a derecho-, en tanto se realizó con posterioridad a la ejecución que como se viera era procedente, y no reúne entonces las condiciones exigidas en relación a la temporaneidad del pago cancelatorio. Ello sin perjuicio, como señala el Juzgador, de que se efectúe la imputación correspondiente en la pertinente liquidación a practicar en el momento procesal oportuno.</w:t>
      </w:r>
    </w:p>
    <w:p>
      <w:pPr>
        <w:pStyle w:val="[Normal]"/>
        <w:spacing w:line="480" w:lineRule="auto"/>
        <w:ind w:firstLine="1134"/>
        <w:jc w:val="both"/>
        <w:rPr>
          <w:lang w:val="es-AR" w:eastAsia="es-AR" w:bidi="es-AR"/>
        </w:rPr>
      </w:pPr>
      <w:r>
        <w:rPr>
          <w:lang w:val="es-AR" w:eastAsia="es-AR" w:bidi="es-AR"/>
        </w:rPr>
        <w:t xml:space="preserve">Por todo lo expuesto, entiendo que debe confirmarse la sentencia dictada por el magistrado de primera instancia. </w:t>
      </w:r>
    </w:p>
    <w:p>
      <w:pPr>
        <w:pStyle w:val="[Normal]"/>
        <w:spacing w:line="48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480" w:lineRule="auto"/>
        <w:ind w:firstLine="1134"/>
        <w:jc w:val="both"/>
        <w:rPr>
          <w:lang w:val="es-AR" w:eastAsia="es-AR" w:bidi="es-AR"/>
        </w:rPr>
      </w:pPr>
      <w:r>
        <w:rPr>
          <w:b/>
          <w:lang w:val="es-AR" w:eastAsia="es-AR" w:bidi="es-AR"/>
        </w:rPr>
        <w:t xml:space="preserve">VOTO POR LA AFIRMATIVA.</w:t>
      </w:r>
    </w:p>
    <w:p>
      <w:pPr>
        <w:pStyle w:val="[Normal]"/>
        <w:spacing w:line="480" w:lineRule="auto"/>
        <w:ind w:firstLine="1134"/>
        <w:jc w:val="both"/>
        <w:rPr>
          <w:lang w:val="es-AR" w:eastAsia="es-AR" w:bidi="es-AR"/>
        </w:rPr>
      </w:pPr>
      <w:r>
        <w:rPr>
          <w:lang w:val="es-AR" w:eastAsia="es-AR" w:bidi="es-AR"/>
        </w:rPr>
        <w:t xml:space="preserve">A la misma cuestión el señor Juez Luciano C. Savignano</w:t>
      </w:r>
      <w:r>
        <w:rPr>
          <w:color w:val="000000"/>
          <w:lang w:val="es-AR" w:eastAsia="es-AR" w:bidi="es-AR"/>
        </w:rPr>
        <w:t xml:space="preserve"> </w:t>
      </w:r>
      <w:r>
        <w:rPr>
          <w:lang w:val="es-AR" w:eastAsia="es-AR" w:bidi="es-AR"/>
        </w:rPr>
        <w:t xml:space="preserve">por análogos fundamentos votó en el mismo sentido.</w:t>
      </w:r>
    </w:p>
    <w:p>
      <w:pPr>
        <w:pStyle w:val="[Normal]"/>
        <w:spacing w:line="480" w:lineRule="auto"/>
        <w:ind w:firstLine="1134"/>
        <w:jc w:val="both"/>
        <w:rPr>
          <w:lang w:val="es-AR" w:eastAsia="es-AR" w:bidi="es-AR"/>
        </w:rPr>
      </w:pPr>
      <w:r>
        <w:rPr>
          <w:lang w:val="es-AR" w:eastAsia="es-AR" w:bidi="es-AR"/>
        </w:rPr>
        <w:t xml:space="preserve">A la segunda cuestión la señora Jueza </w:t>
      </w:r>
      <w:r>
        <w:rPr>
          <w:color w:val="000000"/>
          <w:lang w:val="es-AR" w:eastAsia="es-AR" w:bidi="es-AR"/>
        </w:rPr>
        <w:t xml:space="preserve">Graciela Scaraffia </w:t>
      </w:r>
      <w:r>
        <w:rPr>
          <w:lang w:val="es-AR" w:eastAsia="es-AR" w:bidi="es-AR"/>
        </w:rPr>
        <w:t xml:space="preserve">dijo: De conformidad al resultado habido al tratarse la cuestión precedente, estimo que el pronunciamiento que corresponde dictar es: </w:t>
      </w:r>
    </w:p>
    <w:p>
      <w:pPr>
        <w:pStyle w:val="[Normal]"/>
        <w:spacing w:line="480" w:lineRule="auto"/>
        <w:ind w:firstLine="1134"/>
        <w:jc w:val="both"/>
        <w:rPr>
          <w:lang w:val="es-AR" w:eastAsia="es-AR" w:bidi="es-AR"/>
        </w:rPr>
      </w:pPr>
      <w:r>
        <w:rPr>
          <w:lang w:val="es-AR" w:eastAsia="es-AR" w:bidi="es-AR"/>
        </w:rPr>
        <w:t xml:space="preserve">Rechazar el recurso interpuesto y confirmar el decisorio apelado.</w:t>
      </w:r>
    </w:p>
    <w:p>
      <w:pPr>
        <w:pStyle w:val="[Normal]"/>
        <w:spacing w:line="480" w:lineRule="auto"/>
        <w:ind w:firstLine="1134"/>
        <w:jc w:val="both"/>
        <w:rPr>
          <w:lang w:val="es-AR" w:eastAsia="es-AR" w:bidi="es-AR"/>
        </w:rPr>
      </w:pPr>
      <w:r>
        <w:rPr>
          <w:lang w:val="es-AR" w:eastAsia="es-AR" w:bidi="es-AR"/>
        </w:rPr>
        <w:t xml:space="preserve">Costas de Alzada al apelante vencido (arts. 68/9 CPCC).</w:t>
      </w:r>
    </w:p>
    <w:p>
      <w:pPr>
        <w:pStyle w:val="[Normal]"/>
        <w:spacing w:line="480" w:lineRule="auto"/>
        <w:ind w:firstLine="1134"/>
        <w:jc w:val="both"/>
        <w:rPr>
          <w:lang w:val="es-AR" w:eastAsia="es-AR" w:bidi="es-AR"/>
        </w:rPr>
      </w:pPr>
      <w:r>
        <w:rPr>
          <w:lang w:val="es-AR" w:eastAsia="es-AR" w:bidi="es-AR"/>
        </w:rPr>
        <w:t xml:space="preserve">Diferir la regulación de honorarios hasta tanto obre la correspondiente a la instancia primera (art. 31 de la Ley 14.967).</w:t>
      </w:r>
    </w:p>
    <w:p>
      <w:pPr>
        <w:pStyle w:val="[Normal]"/>
        <w:spacing w:line="480" w:lineRule="auto"/>
        <w:ind w:firstLine="1134"/>
        <w:jc w:val="both"/>
        <w:rPr>
          <w:lang w:val="es-AR" w:eastAsia="es-AR" w:bidi="es-AR"/>
        </w:rPr>
      </w:pPr>
      <w:r>
        <w:rPr>
          <w:b/>
          <w:lang w:val="es-AR" w:eastAsia="es-AR" w:bidi="es-AR"/>
        </w:rPr>
        <w:t xml:space="preserve">ASI LO VOTO</w:t>
      </w:r>
      <w:r>
        <w:rPr>
          <w:lang w:val="es-AR" w:eastAsia="es-AR" w:bidi="es-AR"/>
        </w:rPr>
        <w:t xml:space="preserve">. </w:t>
      </w:r>
    </w:p>
    <w:p>
      <w:pPr>
        <w:pStyle w:val="[Normal]"/>
        <w:spacing w:line="480" w:lineRule="auto"/>
        <w:ind w:firstLine="1134"/>
        <w:jc w:val="both"/>
        <w:rPr>
          <w:lang w:val="es-AR" w:eastAsia="es-AR" w:bidi="es-AR"/>
        </w:rPr>
      </w:pPr>
      <w:r>
        <w:rPr>
          <w:lang w:val="es-AR" w:eastAsia="es-AR" w:bidi="es-AR"/>
        </w:rPr>
        <w:t xml:space="preserve">A la misma cuestión el señor Juez Luciano C. Savignano por análogos fundamentos votó en el mismo sentido.</w:t>
      </w:r>
    </w:p>
    <w:p>
      <w:pPr>
        <w:pStyle w:val="[Normal]"/>
        <w:spacing w:line="48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480" w:lineRule="auto"/>
        <w:ind w:firstLine="1134"/>
        <w:jc w:val="both"/>
        <w:rPr>
          <w:b/>
          <w:u w:val="single"/>
          <w:lang w:val="es-AR" w:eastAsia="es-AR" w:bidi="es-AR"/>
        </w:rPr>
      </w:pPr>
      <w:r>
        <w:rPr>
          <w:b/>
          <w:u w:val="single"/>
          <w:lang w:val="es-AR" w:eastAsia="es-AR" w:bidi="es-AR"/>
        </w:rPr>
        <w:t xml:space="preserve">S E N T E N C I A</w:t>
      </w:r>
      <w:r>
        <w:rPr>
          <w:u w:val="single"/>
          <w:lang w:val="es-AR" w:eastAsia="es-AR" w:bidi="es-AR"/>
        </w:rPr>
        <w:t xml:space="preserve">:</w:t>
      </w:r>
    </w:p>
    <w:p>
      <w:pPr>
        <w:pStyle w:val="[Normal]"/>
        <w:spacing w:line="480" w:lineRule="auto"/>
        <w:ind w:firstLine="1134"/>
        <w:jc w:val="both"/>
        <w:rPr>
          <w:lang w:val="es-AR" w:eastAsia="es-AR" w:bidi="es-AR"/>
        </w:rPr>
      </w:pPr>
      <w:r>
        <w:rPr>
          <w:lang w:val="es-AR" w:eastAsia="es-AR" w:bidi="es-AR"/>
        </w:rPr>
        <w:t xml:space="preserve">Rechazar el recurso interpuesto y confirmar el decisorio apelado.</w:t>
      </w:r>
    </w:p>
    <w:p>
      <w:pPr>
        <w:pStyle w:val="[Normal]"/>
        <w:spacing w:line="480" w:lineRule="auto"/>
        <w:ind w:firstLine="1134"/>
        <w:jc w:val="both"/>
        <w:rPr>
          <w:lang w:val="es-AR" w:eastAsia="es-AR" w:bidi="es-AR"/>
        </w:rPr>
      </w:pPr>
      <w:r>
        <w:rPr>
          <w:lang w:val="es-AR" w:eastAsia="es-AR" w:bidi="es-AR"/>
        </w:rPr>
        <w:t xml:space="preserve">Costas de Alzada al apelante vencido (arts. 68/9 CPCC).</w:t>
      </w:r>
    </w:p>
    <w:p>
      <w:pPr>
        <w:pStyle w:val="[Normal]"/>
        <w:spacing w:line="480" w:lineRule="auto"/>
        <w:ind w:firstLine="1134"/>
        <w:jc w:val="both"/>
        <w:rPr>
          <w:lang w:val="es-AR" w:eastAsia="es-AR" w:bidi="es-AR"/>
        </w:rPr>
      </w:pPr>
      <w:r>
        <w:rPr>
          <w:lang w:val="es-AR" w:eastAsia="es-AR" w:bidi="es-AR"/>
        </w:rPr>
        <w:t xml:space="preserve">Diferir la regulación de honorarios hasta tanto obre la correspondiente a la instancia primera (art. 31 de la Ley 14.967).</w:t>
      </w:r>
    </w:p>
    <w:p>
      <w:pPr>
        <w:pStyle w:val="[Normal]"/>
        <w:spacing w:line="480" w:lineRule="auto"/>
        <w:ind w:firstLine="1134"/>
        <w:jc w:val="both"/>
        <w:rPr>
          <w:lang w:val="es-AR" w:eastAsia="es-AR" w:bidi="es-AR"/>
        </w:rPr>
      </w:pPr>
      <w:r>
        <w:rPr>
          <w:lang w:val="es-AR" w:eastAsia="es-AR" w:bidi="es-AR"/>
        </w:rPr>
        <w:t xml:space="preserve">Regístrese. Notifíquese. Devuélvase.</w:t>
      </w:r>
    </w:p>
    <w:p>
      <w:pPr>
        <w:pStyle w:val="[Normal]"/>
        <w:spacing w:line="480" w:lineRule="auto"/>
        <w:ind w:firstLine="1134"/>
        <w:jc w:val="both"/>
        <w:rPr>
          <w:color w:val="000000"/>
          <w:lang w:val="es-AR" w:eastAsia="es-AR" w:bidi="es-AR"/>
        </w:rPr>
      </w:pPr>
    </w:p>
    <w:p>
      <w:pPr>
        <w:pStyle w:val="[Normal]"/>
        <w:ind w:firstLine="1134"/>
        <w:jc w:val="both"/>
        <w:rPr>
          <w:b/>
          <w:sz w:val="20"/>
          <w:lang w:val="es-AR" w:eastAsia="es-AR" w:bidi="es-AR"/>
        </w:rPr>
      </w:pPr>
      <w:r>
        <w:rPr>
          <w:b/>
          <w:sz w:val="20"/>
          <w:lang w:val="es-AR" w:eastAsia="es-AR" w:bidi="es-AR"/>
        </w:rPr>
        <w:t xml:space="preserve">                                         Graciela SCARAFFIA</w:t>
      </w:r>
    </w:p>
    <w:p>
      <w:pPr>
        <w:pStyle w:val="[Normal]"/>
        <w:ind w:firstLine="850"/>
        <w:jc w:val="center"/>
        <w:rPr>
          <w:b/>
          <w:sz w:val="20"/>
          <w:lang w:val="es-AR" w:eastAsia="es-AR" w:bidi="es-AR"/>
        </w:rPr>
      </w:pPr>
      <w:r>
        <w:rPr>
          <w:b/>
          <w:sz w:val="20"/>
          <w:lang w:val="es-AR" w:eastAsia="es-AR" w:bidi="es-AR"/>
        </w:rPr>
        <w:t xml:space="preserve">Presidente Excma. Cámara de</w:t>
      </w:r>
    </w:p>
    <w:p>
      <w:pPr>
        <w:pStyle w:val="[Normal]"/>
        <w:ind w:firstLine="850"/>
        <w:jc w:val="center"/>
        <w:rPr>
          <w:b/>
          <w:sz w:val="20"/>
          <w:lang w:val="es-AR" w:eastAsia="es-AR" w:bidi="es-AR"/>
        </w:rPr>
      </w:pPr>
      <w:r>
        <w:rPr>
          <w:b/>
          <w:sz w:val="20"/>
          <w:lang w:val="es-AR" w:eastAsia="es-AR" w:bidi="es-AR"/>
        </w:rPr>
        <w:t xml:space="preserve">Apelación en lo Civil y Comercial </w:t>
      </w:r>
    </w:p>
    <w:p>
      <w:pPr>
        <w:pStyle w:val="[Normal]"/>
        <w:ind w:firstLine="850"/>
        <w:jc w:val="both"/>
        <w:rPr>
          <w:b/>
          <w:sz w:val="20"/>
          <w:lang w:val="es-AR" w:eastAsia="es-AR" w:bidi="es-AR"/>
        </w:rPr>
      </w:pPr>
      <w:r>
        <w:rPr>
          <w:b/>
          <w:sz w:val="20"/>
          <w:lang w:val="es-AR" w:eastAsia="es-AR" w:bidi="es-AR"/>
        </w:rPr>
        <w:t xml:space="preserve">                                          Dpto. Judicial Pergamino</w:t>
      </w:r>
    </w:p>
    <w:p>
      <w:pPr>
        <w:pStyle w:val="[Normal]"/>
        <w:ind w:firstLine="850"/>
        <w:jc w:val="both"/>
        <w:rPr>
          <w:b/>
          <w:sz w:val="20"/>
          <w:lang w:val="es-AR" w:eastAsia="es-AR" w:bidi="es-AR"/>
        </w:rPr>
      </w:pPr>
    </w:p>
    <w:p>
      <w:pPr>
        <w:pStyle w:val="[Normal]"/>
        <w:ind w:firstLine="850"/>
        <w:jc w:val="both"/>
        <w:rPr>
          <w:b/>
          <w:sz w:val="20"/>
          <w:lang w:val="es-AR" w:eastAsia="es-AR" w:bidi="es-AR"/>
        </w:rPr>
      </w:pPr>
    </w:p>
    <w:p>
      <w:pPr>
        <w:pStyle w:val="[Normal]"/>
        <w:ind w:firstLine="850"/>
        <w:jc w:val="both"/>
        <w:rPr>
          <w:b/>
          <w:sz w:val="20"/>
          <w:lang w:val="es-AR" w:eastAsia="es-AR" w:bidi="es-AR"/>
        </w:rPr>
      </w:pPr>
    </w:p>
    <w:p>
      <w:pPr>
        <w:pStyle w:val="[Normal]"/>
        <w:ind w:firstLine="850"/>
        <w:jc w:val="both"/>
        <w:rPr>
          <w:b/>
          <w:sz w:val="20"/>
          <w:lang w:val="es-AR" w:eastAsia="es-AR" w:bidi="es-AR"/>
        </w:rPr>
      </w:pPr>
    </w:p>
    <w:p>
      <w:pPr>
        <w:pStyle w:val="[Normal]"/>
        <w:ind w:firstLine="850"/>
        <w:jc w:val="both"/>
        <w:rPr>
          <w:b/>
          <w:sz w:val="20"/>
          <w:lang w:val="es-AR" w:eastAsia="es-AR" w:bidi="es-AR"/>
        </w:rPr>
      </w:pPr>
    </w:p>
    <w:p>
      <w:pPr>
        <w:pStyle w:val="[Normal]"/>
        <w:ind w:firstLine="850"/>
        <w:jc w:val="both"/>
        <w:rPr>
          <w:b/>
          <w:sz w:val="20"/>
          <w:lang w:val="es-AR" w:eastAsia="es-AR" w:bidi="es-AR"/>
        </w:rPr>
      </w:pPr>
      <w:r>
        <w:rPr>
          <w:b/>
          <w:sz w:val="20"/>
          <w:lang w:val="es-AR" w:eastAsia="es-AR" w:bidi="es-AR"/>
        </w:rPr>
        <w:t xml:space="preserve">Luciano C. SAVIGNANO</w:t>
      </w:r>
    </w:p>
    <w:p>
      <w:pPr>
        <w:pStyle w:val="[Normal]"/>
        <w:ind w:firstLine="850"/>
        <w:jc w:val="both"/>
        <w:rPr>
          <w:b/>
          <w:sz w:val="20"/>
          <w:lang w:val="es-AR" w:eastAsia="es-AR" w:bidi="es-AR"/>
        </w:rPr>
      </w:pPr>
      <w:r>
        <w:rPr>
          <w:b/>
          <w:sz w:val="20"/>
          <w:lang w:val="es-AR" w:eastAsia="es-AR" w:bidi="es-AR"/>
        </w:rPr>
        <w:t xml:space="preserve">               Juez</w:t>
      </w:r>
    </w:p>
    <w:p>
      <w:pPr>
        <w:pStyle w:val="[Normal]"/>
        <w:ind w:firstLine="850"/>
        <w:jc w:val="both"/>
        <w:rPr>
          <w:b/>
          <w:sz w:val="20"/>
          <w:lang w:val="es-AR" w:eastAsia="es-AR" w:bidi="es-AR"/>
        </w:rPr>
      </w:pPr>
    </w:p>
    <w:p>
      <w:pPr>
        <w:pStyle w:val="[Normal]"/>
        <w:ind w:firstLine="850"/>
        <w:jc w:val="both"/>
        <w:rPr>
          <w:b/>
          <w:sz w:val="20"/>
          <w:lang w:val="es-AR" w:eastAsia="es-AR" w:bidi="es-AR"/>
        </w:rPr>
      </w:pPr>
    </w:p>
    <w:p>
      <w:pPr>
        <w:pStyle w:val="[Normal]"/>
        <w:ind w:firstLine="850"/>
        <w:jc w:val="both"/>
        <w:rPr>
          <w:b/>
          <w:sz w:val="20"/>
          <w:lang w:val="es-AR" w:eastAsia="es-AR" w:bidi="es-AR"/>
        </w:rPr>
      </w:pPr>
      <w:r>
        <w:rPr>
          <w:b/>
          <w:sz w:val="20"/>
          <w:lang w:val="es-AR" w:eastAsia="es-AR" w:bidi="es-AR"/>
        </w:rPr>
        <w:t xml:space="preserve">                                      </w:t>
      </w:r>
    </w:p>
    <w:p>
      <w:pPr>
        <w:pStyle w:val="[Normal]"/>
        <w:ind w:firstLine="850"/>
        <w:jc w:val="both"/>
        <w:rPr>
          <w:b/>
          <w:sz w:val="20"/>
          <w:lang w:val="es-AR" w:eastAsia="es-AR" w:bidi="es-AR"/>
        </w:rPr>
      </w:pPr>
      <w:r>
        <w:rPr>
          <w:b/>
          <w:sz w:val="20"/>
          <w:lang w:val="es-AR" w:eastAsia="es-AR" w:bidi="es-AR"/>
        </w:rPr>
        <w:t xml:space="preserve">                                               Nicolás MARTINEZ</w:t>
      </w:r>
    </w:p>
    <w:p>
      <w:pPr>
        <w:pStyle w:val="[Normal]"/>
        <w:ind w:firstLine="850"/>
        <w:jc w:val="both"/>
        <w:rPr>
          <w:b/>
          <w:sz w:val="20"/>
          <w:lang w:val="es-AR" w:eastAsia="es-AR" w:bidi="es-AR"/>
        </w:rPr>
      </w:pPr>
      <w:r>
        <w:rPr>
          <w:b/>
          <w:sz w:val="20"/>
          <w:lang w:val="es-AR" w:eastAsia="es-AR" w:bidi="es-AR"/>
        </w:rPr>
        <w:t xml:space="preserve">                                                 Auxiliar Letrado</w:t>
      </w:r>
    </w:p>
    <w:p>
      <w:pPr>
        <w:pStyle w:val="[Normal]"/>
        <w:spacing w:line="480" w:lineRule="auto"/>
        <w:ind w:firstLine="850"/>
        <w:jc w:val="both"/>
        <w:rPr>
          <w:b/>
          <w:lang w:val="es-AR" w:eastAsia="es-AR" w:bidi="es-AR"/>
        </w:rPr>
      </w:pPr>
    </w:p>
    <w:p>
      <w:pPr>
        <w:pStyle w:val="[Normal]"/>
        <w:rPr>
          <w:b/>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charset w:val="00"/>
    <w:family w:val="swiss"/>
    <w:pitch w:val="variable"/>
  </w:font>
  <w:font w:name="Times New Roman">
    <w:charset w:val="00"/>
    <w:family w:val="roman"/>
    <w:pitch w:val="variable"/>
  </w:font>
  <w:font w:name="Symbol">
    <w:charset w:val="02"/>
    <w:family w:val="roman"/>
    <w:pitch w:val="variable"/>
  </w:font>
</w:fonts>
</file>

<file path=word/settings.xml><?xml version="1.0" encoding="utf-8"?>
<w:settings xmlns:w="http://schemas.openxmlformats.org/wordprocessingml/2006/main">
  <w:bordersDoNotSurroundHeader/>
  <w:bordersDoNotSurroundFooter/>
  <w:defaultTabStop w:val="1134"/>
  <w:compat>
    <w:noExtraLineSpacing/>
  </w:compat>
</w:settings>
</file>

<file path=word/styles.xml><?xml version="1.0" encoding="utf-8"?>
<w:styles xmlns:w="http://schemas.openxmlformats.org/wordprocessingml/2006/main">
  <w:docDefaults>
    <w:rPrDefault>
      <w:rPr>
        <w:rFonts w:ascii="Arial"/>
        <w:sz w:val="24"/>
      </w:rPr>
    </w:rPrDefault>
  </w:docDefaults>
  <w:latentStyles/>
  <w:style w:type="paragraph" w:styleId="[Normal]" w:default="1">
    <w:name w:val="[Normal]"/>
    <w:next w:val="[Normal]"/>
    <w:qFormat/>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sz w:val="24"/>
      <w:szCs w:val="24"/>
      <w:shd w:val="clear" w:fill="auto"/>
      <w:rtl w:val="off"/>
      <w:lang w:val="x-none" w:eastAsia="x-none" w:bidi="x-none"/>
    </w:rPr>
  </w:style>
</w:styles>
</file>

<file path=word/_rels/document.xml.rels><?xml version="1.0" encoding="UTF-8" standalone="yes"?><Relationships xmlns="http://schemas.openxmlformats.org/package/2006/relationships">
	<Relationship Id="rId00004" Type="http://schemas.openxmlformats.org/officeDocument/2006/relationships/styles" Target="styles.xml"/>
	<Relationship Id="rId00005" Type="http://schemas.openxmlformats.org/officeDocument/2006/relationships/fontTable" Target="fontTable.xml"/>
	<Relationship Id="rId00006"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Application>TX_DOX 20.0.150.502</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coreProperties>
</file>