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480" w:lineRule="auto"/>
        <w:ind w:firstLine="1134"/>
        <w:jc w:val="both"/>
        <w:rPr>
          <w:lang w:val="es-AR" w:eastAsia="es-AR" w:bidi="es-AR"/>
        </w:rPr>
      </w:pPr>
      <w:r>
        <w:rPr>
          <w:sz w:val="20"/>
          <w:lang w:val="es-AR" w:eastAsia="es-AR" w:bidi="es-AR"/>
        </w:rPr>
        <w:t xml:space="preserve"> </w:t>
      </w:r>
      <w:r>
        <w:rPr>
          <w:b/>
          <w:lang w:val="es-AR" w:eastAsia="es-AR" w:bidi="es-AR"/>
        </w:rPr>
        <w:t xml:space="preserve">Registro N°    8  /</w:t>
      </w:r>
      <w:r>
        <w:rPr>
          <w:color w:val="000000"/>
          <w:lang w:val="es-AR" w:eastAsia="es-AR" w:bidi="es-AR"/>
        </w:rPr>
        <w:t xml:space="preserve">2018</w:t>
      </w:r>
    </w:p>
    <w:p>
      <w:pPr>
        <w:pStyle w:val="[Normal]"/>
        <w:spacing w:line="480" w:lineRule="auto"/>
        <w:ind w:firstLine="1134"/>
        <w:jc w:val="both"/>
        <w:rPr>
          <w:lang w:val="es-AR" w:eastAsia="es-AR" w:bidi="es-AR"/>
        </w:rPr>
      </w:pPr>
      <w:r>
        <w:rPr>
          <w:b/>
          <w:lang w:val="es-AR" w:eastAsia="es-AR" w:bidi="es-AR"/>
        </w:rPr>
        <w:t xml:space="preserve"> Fojas  38</w:t>
      </w:r>
    </w:p>
    <w:p>
      <w:pPr>
        <w:pStyle w:val="[Normal]"/>
        <w:spacing w:line="480" w:lineRule="auto"/>
        <w:ind w:firstLine="1134"/>
        <w:jc w:val="both"/>
        <w:rPr>
          <w:lang w:val="es-AR" w:eastAsia="es-AR" w:bidi="es-AR"/>
        </w:rPr>
      </w:pPr>
    </w:p>
    <w:p>
      <w:pPr>
        <w:pStyle w:val="[Normal]"/>
        <w:spacing w:line="480" w:lineRule="auto"/>
        <w:ind w:firstLine="1134"/>
        <w:jc w:val="both"/>
        <w:rPr>
          <w:b/>
          <w:lang w:val="es-AR" w:eastAsia="es-AR" w:bidi="es-AR"/>
        </w:rPr>
      </w:pPr>
      <w:r>
        <w:rPr>
          <w:lang w:val="es-AR" w:eastAsia="es-AR" w:bidi="es-AR"/>
        </w:rPr>
        <w:t xml:space="preserve">En la ciudad de Pergamino, el   14  de Febrero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3341-18</w:t>
      </w:r>
      <w:r>
        <w:rPr>
          <w:lang w:val="es-AR" w:eastAsia="es-AR" w:bidi="es-AR"/>
        </w:rPr>
        <w:t xml:space="preserve"> caratulados </w:t>
      </w:r>
      <w:r>
        <w:rPr>
          <w:b/>
          <w:i/>
          <w:lang w:val="es-AR" w:eastAsia="es-AR" w:bidi="es-AR"/>
        </w:rPr>
        <w:t xml:space="preserve">"</w:t>
      </w:r>
      <w:r>
        <w:rPr>
          <w:b/>
          <w:i/>
          <w:color w:val="000000"/>
          <w:lang w:val="es-AR" w:eastAsia="es-AR" w:bidi="es-AR"/>
        </w:rPr>
        <w:t xml:space="preserve">CONSORCIO PROP.CDAD.DEP.CLUB SIRIO LIBANES PE C/ FUENTES ALEJANDRO ANDRES Y OTRO/A S/ COBRO EJECUTIVO DE EXPENSAS</w:t>
      </w:r>
      <w:r>
        <w:rPr>
          <w:b/>
          <w:i/>
          <w:lang w:val="es-AR" w:eastAsia="es-AR" w:bidi="es-AR"/>
        </w:rPr>
        <w:t xml:space="preserve">"</w:t>
      </w:r>
      <w:r>
        <w:rPr>
          <w:lang w:val="es-AR" w:eastAsia="es-AR" w:bidi="es-AR"/>
        </w:rPr>
        <w:t xml:space="preserve">, Expte. N° 80531 del Juzgado Civil y Comercial N° 2</w:t>
      </w:r>
      <w:r>
        <w:rPr>
          <w:color w:val="0000FF"/>
          <w:lang w:val="es-AR" w:eastAsia="es-AR" w:bidi="es-AR"/>
        </w:rPr>
        <w:t xml:space="preserve"> </w:t>
      </w:r>
      <w:r>
        <w:rPr>
          <w:lang w:val="es-AR" w:eastAsia="es-AR" w:bidi="es-AR"/>
        </w:rPr>
        <w:t xml:space="preserve">departamental, encontrándose los Dres. </w:t>
      </w:r>
      <w:r>
        <w:rPr>
          <w:color w:val="000000"/>
          <w:lang w:val="es-AR" w:eastAsia="es-AR" w:bidi="es-AR"/>
        </w:rPr>
        <w:t xml:space="preserve">ROBERTO M. DEGLEUE Y GRACIELA SCARAFFÍA</w:t>
      </w:r>
      <w:r>
        <w:rPr>
          <w:lang w:val="es-AR" w:eastAsia="es-AR" w:bidi="es-AR"/>
        </w:rPr>
        <w:t xml:space="preserve">  excusados a fs. 128 y vta., se ordenó la integración de este Tribunal y se practicó el sorteo de ley que determinó que la votación debía efectuarse en el siguiente orden: Dres. </w:t>
      </w:r>
      <w:r>
        <w:rPr>
          <w:color w:val="000000"/>
          <w:lang w:val="es-AR" w:eastAsia="es-AR" w:bidi="es-AR"/>
        </w:rPr>
        <w:t xml:space="preserve">Luciano C. SAVIGNANO y Denise SCAGLIA;</w:t>
      </w:r>
      <w:r>
        <w:rPr>
          <w:lang w:val="es-AR" w:eastAsia="es-AR" w:bidi="es-AR"/>
        </w:rPr>
        <w:t xml:space="preserve"> estudiados los autos se resolvió plantear y votar las siguientes: </w:t>
      </w:r>
    </w:p>
    <w:p>
      <w:pPr>
        <w:pStyle w:val="[Normal]"/>
        <w:spacing w:line="480" w:lineRule="auto"/>
        <w:ind w:firstLine="1134"/>
        <w:jc w:val="both"/>
        <w:rPr>
          <w:color w:val="000000"/>
          <w:lang w:val="es-AR" w:eastAsia="es-AR" w:bidi="es-AR"/>
        </w:rPr>
      </w:pPr>
      <w:r>
        <w:rPr>
          <w:b/>
          <w:color w:val="000000"/>
          <w:u w:val="single"/>
          <w:lang w:val="es-AR" w:eastAsia="es-AR" w:bidi="es-AR"/>
        </w:rPr>
        <w:t xml:space="preserve">C U E S T I O N E S</w:t>
      </w:r>
    </w:p>
    <w:p>
      <w:pPr>
        <w:pStyle w:val="[Normal]"/>
        <w:spacing w:line="48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48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480" w:lineRule="auto"/>
        <w:ind w:firstLine="1134"/>
        <w:jc w:val="both"/>
        <w:rPr>
          <w:color w:val="000000"/>
          <w:lang w:val="es-AR" w:eastAsia="es-AR" w:bidi="es-AR"/>
        </w:rPr>
      </w:pPr>
      <w:r>
        <w:rPr>
          <w:color w:val="000000"/>
          <w:lang w:val="es-AR" w:eastAsia="es-AR" w:bidi="es-AR"/>
        </w:rPr>
        <w:t xml:space="preserve">A la primera cuestión el señor Juez Dr. Luciano C. SAVIGNANO, dijo:</w:t>
      </w:r>
    </w:p>
    <w:p>
      <w:pPr>
        <w:pStyle w:val="[Normal]"/>
        <w:spacing w:line="480" w:lineRule="auto"/>
        <w:ind w:firstLine="1134"/>
        <w:jc w:val="both"/>
        <w:rPr>
          <w:color w:val="000000"/>
          <w:lang w:val="es-AR" w:eastAsia="es-AR" w:bidi="es-AR"/>
        </w:rPr>
      </w:pPr>
      <w:r>
        <w:rPr>
          <w:color w:val="000000"/>
          <w:lang w:val="es-AR" w:eastAsia="es-AR" w:bidi="es-AR"/>
        </w:rPr>
        <w:t xml:space="preserve">La sentencia en recurso mandó llevar adelante la ejecución incoada por expensas hasta tanto los demandados hagan al acreedor íntegro pago del capital reclamado -pesos cuarenta mil ochocientos ($ 40.800)-, con más sus intereses calculados desde la fecha de la mora sucesiva en los distintos períodos mensuales y hasta la del efectivo pago, con más las costas de la ejecución, al tipo que pague el Banco de la Provincia de Buenos Aires en sus depósitos a treinta días, vigente en los distintos períodos de aplicación.</w:t>
      </w:r>
    </w:p>
    <w:p>
      <w:pPr>
        <w:pStyle w:val="[Normal]"/>
        <w:spacing w:line="480" w:lineRule="auto"/>
        <w:ind w:firstLine="1134"/>
        <w:jc w:val="both"/>
        <w:rPr>
          <w:color w:val="000000"/>
          <w:lang w:val="es-AR" w:eastAsia="es-AR" w:bidi="es-AR"/>
        </w:rPr>
      </w:pPr>
      <w:r>
        <w:rPr>
          <w:color w:val="000000"/>
          <w:lang w:val="es-AR" w:eastAsia="es-AR" w:bidi="es-AR"/>
        </w:rPr>
        <w:t xml:space="preserve">Contra el fallo dedujeron recurso de apelación el actor a fs. 91 y la codemandada Fabiana Paola Satuf, a fs. 97.</w:t>
      </w:r>
    </w:p>
    <w:p>
      <w:pPr>
        <w:pStyle w:val="[Normal]"/>
        <w:spacing w:line="480" w:lineRule="auto"/>
        <w:ind w:firstLine="1134"/>
        <w:jc w:val="both"/>
        <w:rPr>
          <w:color w:val="000000"/>
          <w:lang w:val="es-AR" w:eastAsia="es-AR" w:bidi="es-AR"/>
        </w:rPr>
      </w:pPr>
      <w:r>
        <w:rPr>
          <w:color w:val="000000"/>
          <w:lang w:val="es-AR" w:eastAsia="es-AR" w:bidi="es-AR"/>
        </w:rPr>
        <w:t xml:space="preserve">El primero presenta memorial a fs. 93/4, contestado por la contraria a fs. 96/7 y ésta hace lo propio a fs. 106/7, obrando responde a fs. 110/1. Elevada la causa a fs. 126 y aceptadas las excusaciones habidas, el Tribunal queda integrado a fs. 135, pasando los autos para resolver a fs. 136. El llamamiento se suspende a fs. 139 a fin de requerir la remisión de documental original reservada en la instancia de origen  y recibida la misma, se reanuda a fs. 144. Firme dicha providencia, la causa se encuentra en condiciones de ser fallada.</w:t>
      </w:r>
    </w:p>
    <w:p>
      <w:pPr>
        <w:pStyle w:val="[Normal]"/>
        <w:spacing w:line="480" w:lineRule="auto"/>
        <w:ind w:firstLine="1134"/>
        <w:jc w:val="both"/>
        <w:rPr>
          <w:color w:val="000000"/>
          <w:lang w:val="es-AR" w:eastAsia="es-AR" w:bidi="es-AR"/>
        </w:rPr>
      </w:pPr>
      <w:r>
        <w:rPr>
          <w:color w:val="000000"/>
          <w:lang w:val="es-AR" w:eastAsia="es-AR" w:bidi="es-AR"/>
        </w:rPr>
        <w:t xml:space="preserve">Sostiene el recurrente al expresar sus agravios que la sentencia no respetó la aplicación de intereses en los términos solicitados en demanda, esto es de conformidad a lo establecido en el Reglamento de Copropiedad y Administración (punto e del escrito de inicio). Afirma que resulta de aplicación el art. 768 del C.C.C. en cuanto a los intereses moratorios y que los punitorios proceden conforme a las normas estipuladas (art. 10 inc. L del Reglamento de Copropiedad). Peticiona en consecuencia se establezca la tasa activa del Banco Provincia de Buenos de Aires en cuanto a los intereses moratorios y la del 2% mensual respecto de los punitorios de acuerdo al Reglamento de Copropiedad.</w:t>
      </w:r>
    </w:p>
    <w:p>
      <w:pPr>
        <w:pStyle w:val="[Normal]"/>
        <w:spacing w:line="480" w:lineRule="auto"/>
        <w:ind w:firstLine="1134"/>
        <w:jc w:val="both"/>
        <w:rPr>
          <w:color w:val="000000"/>
          <w:lang w:val="es-AR" w:eastAsia="es-AR" w:bidi="es-AR"/>
        </w:rPr>
      </w:pPr>
      <w:r>
        <w:rPr>
          <w:color w:val="000000"/>
          <w:lang w:val="es-AR" w:eastAsia="es-AR" w:bidi="es-AR"/>
        </w:rPr>
        <w:t xml:space="preserve">A su turno, la contraria solicita se desestime la queja al respecto en tanto el certificado de deuda con el que se inicia la ejecución no incluye los intereses pretendidos, los que debió consignar al momento de la creación del título ejecutivo. </w:t>
      </w:r>
    </w:p>
    <w:p>
      <w:pPr>
        <w:pStyle w:val="[Normal]"/>
        <w:spacing w:line="480" w:lineRule="auto"/>
        <w:ind w:firstLine="1134"/>
        <w:jc w:val="both"/>
        <w:rPr>
          <w:color w:val="000000"/>
          <w:lang w:val="es-AR" w:eastAsia="es-AR" w:bidi="es-AR"/>
        </w:rPr>
      </w:pPr>
      <w:r>
        <w:rPr>
          <w:color w:val="000000"/>
          <w:lang w:val="es-AR" w:eastAsia="es-AR" w:bidi="es-AR"/>
        </w:rPr>
        <w:t xml:space="preserve">Por su parte, al motivar la apelación que interpone, peticiona se revoque el pronunciamiento, haciendo lugar a las excepciones esgrimidas, con costas. Se agravia por cuanto el A-quo se aparta de los planteos que efectuara siendo que el reclamo es posterior a la constitución como bien de familia del inmueble por el que se reclaman expensas  y obviamente a la vida consorcial,</w:t>
      </w:r>
      <w:r>
        <w:rPr>
          <w:i/>
          <w:color w:val="000000"/>
          <w:lang w:val="es-AR" w:eastAsia="es-AR" w:bidi="es-AR"/>
        </w:rPr>
        <w:t xml:space="preserve"> "...ya que existe una imposibilidad fáctica de inscribir un bien de familia con anterioridad al nacimiento del Consorcio."</w:t>
      </w:r>
      <w:r>
        <w:rPr>
          <w:color w:val="000000"/>
          <w:lang w:val="es-AR" w:eastAsia="es-AR" w:bidi="es-AR"/>
        </w:rPr>
        <w:t xml:space="preserve"> (fs. 107). Asimismo, entiende que no debió diferir el tratamiento de la cuestión relativa al carácter de bien de familia del inmueble y por último considera que correspondía dar intervención a la Asesoría de Incapaces, ante la existencia de menores involucrados en autos.</w:t>
      </w:r>
    </w:p>
    <w:p>
      <w:pPr>
        <w:pStyle w:val="[Normal]"/>
        <w:spacing w:line="480" w:lineRule="auto"/>
        <w:ind w:firstLine="1134"/>
        <w:jc w:val="both"/>
        <w:rPr>
          <w:color w:val="000000"/>
          <w:lang w:val="es-AR" w:eastAsia="es-AR" w:bidi="es-AR"/>
        </w:rPr>
      </w:pPr>
      <w:r>
        <w:rPr>
          <w:color w:val="000000"/>
          <w:lang w:val="es-AR" w:eastAsia="es-AR" w:bidi="es-AR"/>
        </w:rPr>
        <w:t xml:space="preserve">Al responder tales agravios, el ejecutante afirma que no se han opuesto excepciones legítimas y su pretensa oposición al avance del proceso carece de sustento pues "ni la constitución de bien de familia, ni la existencia de menores ni la situación familiar es tema a examinar en tanto se trata de obligación </w:t>
      </w:r>
      <w:r>
        <w:rPr>
          <w:i/>
          <w:color w:val="000000"/>
          <w:lang w:val="es-AR" w:eastAsia="es-AR" w:bidi="es-AR"/>
        </w:rPr>
        <w:t xml:space="preserve">propter rem,</w:t>
      </w:r>
      <w:r>
        <w:rPr>
          <w:color w:val="000000"/>
          <w:lang w:val="es-AR" w:eastAsia="es-AR" w:bidi="es-AR"/>
        </w:rPr>
        <w:t xml:space="preserve"> unida a la titularidad de un derecho real. Pide el rechazo del recurso, con costas.</w:t>
      </w:r>
    </w:p>
    <w:p>
      <w:pPr>
        <w:pStyle w:val="[Normal]"/>
        <w:spacing w:line="480" w:lineRule="auto"/>
        <w:ind w:firstLine="1134"/>
        <w:jc w:val="both"/>
        <w:rPr>
          <w:color w:val="000000"/>
          <w:lang w:val="es-AR" w:eastAsia="es-AR" w:bidi="es-AR"/>
        </w:rPr>
      </w:pPr>
      <w:r>
        <w:rPr>
          <w:color w:val="000000"/>
          <w:lang w:val="es-AR" w:eastAsia="es-AR" w:bidi="es-AR"/>
        </w:rPr>
        <w:t xml:space="preserve">Previo a la elevación de los autos se da intervención a la Sra. Asesora de Incapaces a fs. 122, quién mediante escrito electrónico de fecha 8/6/18, manifiesta que no corresponde su intervención por cuanto no existen intereses de menores a representar.</w:t>
      </w:r>
    </w:p>
    <w:p>
      <w:pPr>
        <w:pStyle w:val="[Normal]"/>
        <w:spacing w:line="480" w:lineRule="auto"/>
        <w:ind w:firstLine="1134"/>
        <w:jc w:val="both"/>
        <w:rPr>
          <w:color w:val="000000"/>
          <w:lang w:val="es-AR" w:eastAsia="es-AR" w:bidi="es-AR"/>
        </w:rPr>
      </w:pPr>
      <w:r>
        <w:rPr>
          <w:color w:val="000000"/>
          <w:lang w:val="es-AR" w:eastAsia="es-AR" w:bidi="es-AR"/>
        </w:rPr>
        <w:t xml:space="preserve">He de iniciar el examen de la presente por el tratamiento del recurso de la codemandada, en cuanto se agravia del progreso de la ejecución. </w:t>
      </w:r>
    </w:p>
    <w:p>
      <w:pPr>
        <w:pStyle w:val="[Normal]"/>
        <w:spacing w:line="480" w:lineRule="auto"/>
        <w:ind w:firstLine="1134"/>
        <w:jc w:val="both"/>
        <w:rPr>
          <w:color w:val="000000"/>
          <w:lang w:val="es-AR" w:eastAsia="es-AR" w:bidi="es-AR"/>
        </w:rPr>
      </w:pPr>
      <w:r>
        <w:rPr>
          <w:color w:val="000000"/>
          <w:lang w:val="es-AR" w:eastAsia="es-AR" w:bidi="es-AR"/>
        </w:rPr>
        <w:t xml:space="preserve">Entiendo que al respecto se ajusta a derecho el fallo en crisis en tanto no se han opuesto excepciones admisibles -art. 542 a contrario sensu del CPCC-, y los planteos efectuados por la ejecutada, que exceden a aquellas, no son atendibles desde que no procede desnaturalizar la sumariedad de los procesos ejecutivos afectando la tutela jurisdiccional a los créditos amparados en el marco de este juicio especial.</w:t>
      </w:r>
    </w:p>
    <w:p>
      <w:pPr>
        <w:pStyle w:val="[Normal]"/>
        <w:spacing w:line="480" w:lineRule="auto"/>
        <w:ind w:firstLine="1134"/>
        <w:jc w:val="both"/>
        <w:rPr>
          <w:lang w:val="es-AR" w:eastAsia="es-AR" w:bidi="es-AR"/>
        </w:rPr>
      </w:pPr>
      <w:r>
        <w:rPr>
          <w:color w:val="000000"/>
          <w:lang w:val="es-AR" w:eastAsia="es-AR" w:bidi="es-AR"/>
        </w:rPr>
        <w:t xml:space="preserve">En particular, respecto de  las ejecuciones por cobro de expensas comunes, se ha dicho que</w:t>
      </w:r>
      <w:r>
        <w:rPr>
          <w:i/>
          <w:color w:val="000000"/>
          <w:lang w:val="es-AR" w:eastAsia="es-AR" w:bidi="es-AR"/>
        </w:rPr>
        <w:t xml:space="preserve"> "...excluyen todo planteamiento extraño a la ejecución misma, no pudiendo por ende oponerse o discutirse la eficacia o ineficacia o nulidad de la constitución de la asamblea, ni puede controvertirse la designación del administrador del Consorcio, o el de los representantes del Consorcio."</w:t>
      </w:r>
      <w:r>
        <w:rPr>
          <w:color w:val="000000"/>
          <w:lang w:val="es-AR" w:eastAsia="es-AR" w:bidi="es-AR"/>
        </w:rPr>
        <w:t xml:space="preserve"> (confr.CC0002 LM 849 RSI-104-5 I 05/07/2005). Cabe destacar en la materia, </w:t>
      </w:r>
      <w:r>
        <w:rPr>
          <w:lang w:val="es-AR" w:eastAsia="es-AR" w:bidi="es-AR"/>
        </w:rPr>
        <w:t xml:space="preserve">la importancia que la percepción del pago de las expensas representa para la vida consorcial y ello impone el puntual y exacto pago en atención a la trascendental función que cumple en su sostenimiento.</w:t>
      </w:r>
    </w:p>
    <w:p>
      <w:pPr>
        <w:pStyle w:val="[Normal]"/>
        <w:spacing w:line="480" w:lineRule="auto"/>
        <w:ind w:firstLine="1134"/>
        <w:jc w:val="both"/>
        <w:rPr>
          <w:color w:val="000000"/>
          <w:lang w:val="es-AR" w:eastAsia="es-AR" w:bidi="es-AR"/>
        </w:rPr>
      </w:pPr>
      <w:r>
        <w:rPr>
          <w:color w:val="000000"/>
          <w:lang w:val="es-AR" w:eastAsia="es-AR" w:bidi="es-AR"/>
        </w:rPr>
        <w:t xml:space="preserve">En lo que respecta a la oponibilidad o no de la constitución de bien de familia que plantea la ejecutada, a fs. 29/31 obra el respectivo informe de dominio.</w:t>
      </w:r>
    </w:p>
    <w:p>
      <w:pPr>
        <w:pStyle w:val="[Normal]"/>
        <w:spacing w:line="480" w:lineRule="auto"/>
        <w:ind w:firstLine="1134"/>
        <w:jc w:val="both"/>
        <w:rPr>
          <w:color w:val="000000"/>
          <w:lang w:val="es-AR" w:eastAsia="es-AR" w:bidi="es-AR"/>
        </w:rPr>
      </w:pPr>
      <w:r>
        <w:rPr>
          <w:color w:val="000000"/>
          <w:lang w:val="es-AR" w:eastAsia="es-AR" w:bidi="es-AR"/>
        </w:rPr>
        <w:t xml:space="preserve">Sobre el punto comparto el criterio según el cual</w:t>
      </w:r>
      <w:r>
        <w:rPr>
          <w:lang w:val="es-AR" w:eastAsia="es-AR" w:bidi="es-AR"/>
        </w:rPr>
        <w:t xml:space="preserve"> </w:t>
      </w:r>
      <w:r>
        <w:rPr>
          <w:i/>
          <w:lang w:val="es-AR" w:eastAsia="es-AR" w:bidi="es-AR"/>
        </w:rPr>
        <w:t xml:space="preserve">"...l</w:t>
      </w:r>
      <w:r>
        <w:rPr>
          <w:i/>
          <w:color w:val="000000"/>
          <w:lang w:val="es-AR" w:eastAsia="es-AR" w:bidi="es-AR"/>
        </w:rPr>
        <w:t xml:space="preserve">a obligación al pago de expensas en materia de propiedad horizontal se contrae al momento de adherirse al Reglamento de Copropiedad y Administración, lo que ocurre al adquirirse la unidad. Así se advierte que la constitución del bien de familia resulta posterior a la asunción de dicha obligación, conforme resulta del informe de dominio de fs...La obligación en las expensas comunes preexiste a cualquier afectación de la unidad y no constituyen nuevas obligaciones sino rubros o renglones de la obligación de contribuir (CNCiv., Sala L, 20/03/1998, “Cons. de Prop. Guise 1740 c. Demirodgen Varujan s/ejecución de expensas)...Este razonamiento se ve reforzado a partir de la normativa que actualmente resulta aplicable en la materia. En efecto desde la entrada en vigencia del Cód. Civil y Comercial de la Nación, se ha derogado la ley 14.394 (conf. art. 3, ley 26.994). Rige en la actualidad</w:t>
      </w:r>
      <w:r>
        <w:rPr>
          <w:color w:val="000000"/>
          <w:lang w:val="es-AR" w:eastAsia="es-AR" w:bidi="es-AR"/>
        </w:rPr>
        <w:t xml:space="preserve"> </w:t>
      </w:r>
      <w:r>
        <w:rPr>
          <w:i/>
          <w:color w:val="000000"/>
          <w:lang w:val="es-AR" w:eastAsia="es-AR" w:bidi="es-AR"/>
        </w:rPr>
        <w:t xml:space="preserve">lo que se denomina sistema de afectación de la vivienda (arts. 244/256, cód.cit.). Allí se prevé que el inmueble no será susceptible de ejecución por deudas posteriores a la inscripción dentro de ese régimen, excepto que se</w:t>
      </w:r>
      <w:r>
        <w:rPr>
          <w:color w:val="000000"/>
          <w:lang w:val="es-AR" w:eastAsia="es-AR" w:bidi="es-AR"/>
        </w:rPr>
        <w:t xml:space="preserve"> </w:t>
      </w:r>
      <w:r>
        <w:rPr>
          <w:i/>
          <w:color w:val="000000"/>
          <w:lang w:val="es-AR" w:eastAsia="es-AR" w:bidi="es-AR"/>
        </w:rPr>
        <w:t xml:space="preserve">trate de obligaciones por expensas comunes (art. 249, inc. a, cód. cit.)... por lo tanto ya sea por el sistema anterior relativo al bien de familia como al actual régimen de afectación, no corresponde otra solución que confirmar la decisión apelada.</w:t>
      </w:r>
      <w:r>
        <w:rPr>
          <w:color w:val="000000"/>
          <w:lang w:val="es-AR" w:eastAsia="es-AR" w:bidi="es-AR"/>
        </w:rPr>
        <w:t xml:space="preserve">"(Cámara Nacional de Apelaciones en lo Civil, Sala “B”, sent. del 7 de abril de 2017).</w:t>
      </w:r>
    </w:p>
    <w:p>
      <w:pPr>
        <w:pStyle w:val="[Normal]"/>
        <w:spacing w:line="480" w:lineRule="auto"/>
        <w:ind w:firstLine="1134"/>
        <w:jc w:val="both"/>
        <w:rPr>
          <w:lang w:val="es-AR" w:eastAsia="es-AR" w:bidi="es-AR"/>
        </w:rPr>
      </w:pPr>
      <w:r>
        <w:rPr>
          <w:lang w:val="es-AR" w:eastAsia="es-AR" w:bidi="es-AR"/>
        </w:rPr>
        <w:t xml:space="preserve">En otro orden, el Juzgador en su fallo alude a la naturaleza jurídica del crédito que se ejecuta en tanto obligación </w:t>
      </w:r>
      <w:r>
        <w:rPr>
          <w:i/>
          <w:lang w:val="es-AR" w:eastAsia="es-AR" w:bidi="es-AR"/>
        </w:rPr>
        <w:t xml:space="preserve">propter rem.</w:t>
      </w:r>
      <w:r>
        <w:rPr>
          <w:lang w:val="es-AR" w:eastAsia="es-AR" w:bidi="es-AR"/>
        </w:rPr>
        <w:t xml:space="preserve"> </w:t>
      </w:r>
    </w:p>
    <w:p>
      <w:pPr>
        <w:pStyle w:val="[Normal]"/>
        <w:spacing w:line="480" w:lineRule="auto"/>
        <w:ind w:firstLine="1134"/>
        <w:jc w:val="both"/>
        <w:rPr>
          <w:color w:val="000000"/>
          <w:lang w:val="es-AR" w:eastAsia="es-AR" w:bidi="es-AR"/>
        </w:rPr>
      </w:pPr>
      <w:r>
        <w:rPr>
          <w:lang w:val="es-AR" w:eastAsia="es-AR" w:bidi="es-AR"/>
        </w:rPr>
        <w:t xml:space="preserve">En tal sentido se ha decidido en esta Alzada (confr. C 3450 RSD-88-00 S 15/06/2000) y el Superior Tribunal de Provincia ha expuesto que </w:t>
      </w:r>
      <w:r>
        <w:rPr>
          <w:i/>
          <w:lang w:val="es-AR" w:eastAsia="es-AR" w:bidi="es-AR"/>
        </w:rPr>
        <w:t xml:space="preserve">"</w:t>
      </w:r>
      <w:r>
        <w:rPr>
          <w:i/>
          <w:color w:val="000000"/>
          <w:lang w:val="es-AR" w:eastAsia="es-AR" w:bidi="es-AR"/>
        </w:rPr>
        <w:t xml:space="preserve">La obligación de pagar las expensas comunes reviste el carácter de "propter rem" que tiene origen en la relación real de condominio y que está contemplada en los supuestos que aprehende el art. 2685 del Código Civil, es decir, en la obligación que tienen los consorcistas o copropietarios de contribuir a los gastos de conservación o reparación de la cosa común...El carácter propter rem de la obligación que manda el art. 17 de la ley 13.512 es receptado en el art. 568 del Código Procesal Civil y Comercial...".</w:t>
      </w:r>
      <w:r>
        <w:rPr>
          <w:color w:val="000000"/>
          <w:lang w:val="es-AR" w:eastAsia="es-AR" w:bidi="es-AR"/>
        </w:rPr>
        <w:t xml:space="preserve">(SCBA LP C 112972 S 09/05/2012).</w:t>
      </w:r>
    </w:p>
    <w:p>
      <w:pPr>
        <w:pStyle w:val="[Normal]"/>
        <w:spacing w:line="480" w:lineRule="auto"/>
        <w:ind w:firstLine="1134"/>
        <w:jc w:val="both"/>
        <w:rPr>
          <w:color w:val="000000"/>
          <w:lang w:val="es-AR" w:eastAsia="es-AR" w:bidi="es-AR"/>
        </w:rPr>
      </w:pPr>
      <w:r>
        <w:rPr>
          <w:color w:val="000000"/>
          <w:lang w:val="es-AR" w:eastAsia="es-AR" w:bidi="es-AR"/>
        </w:rPr>
        <w:t xml:space="preserve">Es decir, que tal lo expuesto por el Magistrado primero en su pronunciamiento, el acuerdo entre los ex cónyuges propietarios respecto de la asunción del pago de las expensas del bien sujeto al régimen de propiedad horizontal, no es oponible al consorcio ejecutante.</w:t>
      </w:r>
    </w:p>
    <w:p>
      <w:pPr>
        <w:pStyle w:val="[Normal]"/>
        <w:spacing w:line="480" w:lineRule="auto"/>
        <w:ind w:firstLine="1134"/>
        <w:jc w:val="both"/>
        <w:rPr>
          <w:color w:val="000000"/>
          <w:lang w:val="es-AR" w:eastAsia="es-AR" w:bidi="es-AR"/>
        </w:rPr>
      </w:pPr>
      <w:r>
        <w:rPr>
          <w:color w:val="000000"/>
          <w:lang w:val="es-AR" w:eastAsia="es-AR" w:bidi="es-AR"/>
        </w:rPr>
        <w:t xml:space="preserve">Dadas las consideraciones vertidas, los agravios traídos no pueden ser atendidos.</w:t>
      </w:r>
    </w:p>
    <w:p>
      <w:pPr>
        <w:pStyle w:val="[Normal]"/>
        <w:spacing w:line="480" w:lineRule="auto"/>
        <w:ind w:firstLine="1134"/>
        <w:jc w:val="both"/>
        <w:rPr>
          <w:color w:val="000000"/>
          <w:lang w:val="es-AR" w:eastAsia="es-AR" w:bidi="es-AR"/>
        </w:rPr>
      </w:pPr>
      <w:r>
        <w:rPr>
          <w:color w:val="000000"/>
          <w:lang w:val="es-AR" w:eastAsia="es-AR" w:bidi="es-AR"/>
        </w:rPr>
        <w:t xml:space="preserve">Respecto del recurso interpuesto por la parte actora, soy de opinión que debe tener parcial acogida.</w:t>
      </w:r>
    </w:p>
    <w:p>
      <w:pPr>
        <w:pStyle w:val="[Normal]"/>
        <w:spacing w:line="480" w:lineRule="auto"/>
        <w:ind w:firstLine="1134"/>
        <w:jc w:val="both"/>
        <w:rPr>
          <w:i/>
          <w:color w:val="000000"/>
          <w:lang w:val="es-AR" w:eastAsia="es-AR" w:bidi="es-AR"/>
        </w:rPr>
      </w:pPr>
      <w:r>
        <w:rPr>
          <w:color w:val="000000"/>
          <w:lang w:val="es-AR" w:eastAsia="es-AR" w:bidi="es-AR"/>
        </w:rPr>
        <w:t xml:space="preserve">En demanda (fs. 35 punto e) se solicitó la condena al íntegro pago de la deuda con más los intereses previstos en el reglamento de copropiedad del consorcio (art. décimo).</w:t>
      </w:r>
    </w:p>
    <w:p>
      <w:pPr>
        <w:pStyle w:val="[Normal]"/>
        <w:spacing w:line="480" w:lineRule="auto"/>
        <w:ind w:firstLine="1134"/>
        <w:jc w:val="both"/>
        <w:rPr>
          <w:color w:val="000000"/>
          <w:lang w:val="es-AR" w:eastAsia="es-AR" w:bidi="es-AR"/>
        </w:rPr>
      </w:pPr>
      <w:r>
        <w:rPr>
          <w:color w:val="000000"/>
          <w:lang w:val="es-AR" w:eastAsia="es-AR" w:bidi="es-AR"/>
        </w:rPr>
        <w:t xml:space="preserve">El A-quo en el decisorio recurrido condenó al pago del capital reclamado "...con más sus intereses calculados desde la fecha de la mora sucesiva en los distintos períodos mensuales y hasta la del efectivo pago, al tipo que pague el Banco de la Provincia de Buenos Aires en sus depósitos a 30 días vigentes en los distintos períodos de aplicación." (tasa pasiva).</w:t>
      </w:r>
    </w:p>
    <w:p>
      <w:pPr>
        <w:pStyle w:val="[Normal]"/>
        <w:spacing w:line="480" w:lineRule="auto"/>
        <w:ind w:firstLine="1134"/>
        <w:jc w:val="both"/>
        <w:rPr>
          <w:color w:val="000000"/>
          <w:lang w:val="es-AR" w:eastAsia="es-AR" w:bidi="es-AR"/>
        </w:rPr>
      </w:pPr>
      <w:r>
        <w:rPr>
          <w:color w:val="000000"/>
          <w:lang w:val="es-AR" w:eastAsia="es-AR" w:bidi="es-AR"/>
        </w:rPr>
        <w:t xml:space="preserve">Al fundar su recurso el apelante sostiene que debe aplicarse en cuanto a los intereses moratorios, la tasa activa del Banco Provincia y en cuanto a los punitorios, el 2% mensual según el Reglamento de Copropiedad. </w:t>
      </w:r>
    </w:p>
    <w:p>
      <w:pPr>
        <w:pStyle w:val="[Normal]"/>
        <w:spacing w:line="480" w:lineRule="auto"/>
        <w:ind w:firstLine="1134"/>
        <w:jc w:val="both"/>
        <w:rPr>
          <w:i/>
          <w:color w:val="000000"/>
          <w:lang w:val="es-AR" w:eastAsia="es-AR" w:bidi="es-AR"/>
        </w:rPr>
      </w:pPr>
      <w:r>
        <w:rPr>
          <w:color w:val="000000"/>
          <w:lang w:val="es-AR" w:eastAsia="es-AR" w:bidi="es-AR"/>
        </w:rPr>
        <w:t xml:space="preserve">La cláusula de mención establece que </w:t>
      </w:r>
      <w:r>
        <w:rPr>
          <w:i/>
          <w:color w:val="000000"/>
          <w:lang w:val="es-AR" w:eastAsia="es-AR" w:bidi="es-AR"/>
        </w:rPr>
        <w:t xml:space="preserve">"El incumplimiento de las obligaciones de pago prescriptas en este artículo hará incurrir en mora al deudor, por el mero vencimiento del plazo acordado para ello por el Consejo de Administración sin necesidad de interpelaciones judiciales ni extrajudiciales de ninguna especie, debiendo abonar un interés punitorio del dos por ciento mensual, por todo el tiempo de la mora sin perjuicio de las demás acciones judiciales o extrajudiciales que podrán promoverse contra él, pasando dichos intereses al fondo común."</w:t>
      </w:r>
    </w:p>
    <w:p>
      <w:pPr>
        <w:pStyle w:val="[Normal]"/>
        <w:spacing w:line="480" w:lineRule="auto"/>
        <w:ind w:firstLine="1134"/>
        <w:jc w:val="both"/>
        <w:rPr>
          <w:color w:val="000000"/>
          <w:lang w:val="es-AR" w:eastAsia="es-AR" w:bidi="es-AR"/>
        </w:rPr>
      </w:pPr>
      <w:r>
        <w:rPr>
          <w:color w:val="000000"/>
          <w:lang w:val="es-AR" w:eastAsia="es-AR" w:bidi="es-AR"/>
        </w:rPr>
        <w:t xml:space="preserve">Procede en consecuencia, dicha categoría de accesorios expresamente prevista y considero que </w:t>
      </w:r>
      <w:r>
        <w:rPr>
          <w:i/>
          <w:color w:val="000000"/>
          <w:lang w:val="es-AR" w:eastAsia="es-AR" w:bidi="es-AR"/>
        </w:rPr>
        <w:t xml:space="preserve">"La aplicación de intereses punitorios a la tasa del dos (2) por ciento mensual no aparecen excesivos, teniendo especialmente en cuenta la importancia que la percepción del pago de las expensas representa para la vida consorcial."</w:t>
      </w:r>
      <w:r>
        <w:rPr>
          <w:color w:val="000000"/>
          <w:lang w:val="es-AR" w:eastAsia="es-AR" w:bidi="es-AR"/>
        </w:rPr>
        <w:t xml:space="preserve"> (confr.CC0202 LP B 78889 RSD-364-94).</w:t>
      </w:r>
    </w:p>
    <w:p>
      <w:pPr>
        <w:pStyle w:val="[Normal]"/>
        <w:spacing w:line="480" w:lineRule="auto"/>
        <w:ind w:firstLine="1134"/>
        <w:jc w:val="both"/>
        <w:rPr>
          <w:color w:val="000000"/>
          <w:lang w:val="es-AR" w:eastAsia="es-AR" w:bidi="es-AR"/>
        </w:rPr>
      </w:pPr>
      <w:r>
        <w:rPr>
          <w:color w:val="000000"/>
          <w:lang w:val="es-AR" w:eastAsia="es-AR" w:bidi="es-AR"/>
        </w:rPr>
        <w:t xml:space="preserve">En cuanto a los intereses moratorios que corresponden en virtud del art. 768 del C.C.C. (en concordancia con el art. 622 del C.C.), entiendo que corresponde establecerlos en la tasa pasiva que prevé la sentencia en tanto adunados a los intereses punitorios que desde esta Alzada son acogidos, se arriba a un índice que se aproxima a la llamada pasiva digital (BIP). </w:t>
      </w:r>
    </w:p>
    <w:p>
      <w:pPr>
        <w:pStyle w:val="[Normal]"/>
        <w:spacing w:line="480" w:lineRule="auto"/>
        <w:ind w:firstLine="1134"/>
        <w:jc w:val="both"/>
        <w:rPr>
          <w:color w:val="000000"/>
          <w:lang w:val="es-AR" w:eastAsia="es-AR" w:bidi="es-AR"/>
        </w:rPr>
      </w:pPr>
      <w:r>
        <w:rPr>
          <w:color w:val="000000"/>
          <w:lang w:val="es-AR" w:eastAsia="es-AR" w:bidi="es-AR"/>
        </w:rPr>
        <w:t xml:space="preserve">Es sabido y jurisprudencialmente receptado, que las tasas de interés han de aplicarse en un marco de razonabilidad, siendo factibles de morigeración (doctr. arts. 656 C.C y 771 C.C.C.). </w:t>
      </w:r>
    </w:p>
    <w:p>
      <w:pPr>
        <w:pStyle w:val="[Normal]"/>
        <w:spacing w:line="480" w:lineRule="auto"/>
        <w:ind w:firstLine="1134"/>
        <w:jc w:val="both"/>
        <w:rPr>
          <w:color w:val="000000"/>
          <w:lang w:val="es-AR" w:eastAsia="es-AR" w:bidi="es-AR"/>
        </w:rPr>
      </w:pPr>
      <w:r>
        <w:rPr>
          <w:color w:val="000000"/>
          <w:lang w:val="es-AR" w:eastAsia="es-AR" w:bidi="es-AR"/>
        </w:rPr>
        <w:t xml:space="preserve">En el supuesto de autos, debe fijarse una tasa única comprensiva de los punitorios convenidos (24% anual) y de los moratorios, de modo que estimo prudente establecerla en el 36 % anual.</w:t>
      </w:r>
    </w:p>
    <w:p>
      <w:pPr>
        <w:pStyle w:val="[Normal]"/>
        <w:spacing w:line="480" w:lineRule="auto"/>
        <w:ind w:firstLine="1134"/>
        <w:jc w:val="both"/>
        <w:rPr>
          <w:color w:val="000000"/>
          <w:lang w:val="es-AR" w:eastAsia="es-AR" w:bidi="es-AR"/>
        </w:rPr>
      </w:pPr>
      <w:r>
        <w:rPr>
          <w:color w:val="000000"/>
          <w:lang w:val="es-AR" w:eastAsia="es-AR" w:bidi="es-AR"/>
        </w:rPr>
        <w:t xml:space="preserve">En tal sentido se ha dicho que </w:t>
      </w:r>
      <w:r>
        <w:rPr>
          <w:i/>
          <w:color w:val="000000"/>
          <w:lang w:val="es-AR" w:eastAsia="es-AR" w:bidi="es-AR"/>
        </w:rPr>
        <w:t xml:space="preserve">"Deberá seguirse con la ejecución adelante por</w:t>
      </w:r>
      <w:r>
        <w:rPr>
          <w:color w:val="000000"/>
          <w:lang w:val="es-AR" w:eastAsia="es-AR" w:bidi="es-AR"/>
        </w:rPr>
        <w:t xml:space="preserve"> </w:t>
      </w:r>
      <w:r>
        <w:rPr>
          <w:i/>
          <w:color w:val="000000"/>
          <w:lang w:val="es-AR" w:eastAsia="es-AR" w:bidi="es-AR"/>
        </w:rPr>
        <w:t xml:space="preserve">el capital puro de las expensas adeudadas y deberán calcularse los intereses en la etapa procesal pertinente (art. 501 CPCC) a partir de cada uno de los vencimiento de acuerdo a los previstos en el Reglamento de Copropiedad y teniendo como tope el 36 % anual por todo concepto, no pudiendo ser considerado dicho tope ni abusivo ni usurario, atendiendo a la particular naturaleza y destino de las expensas comunes, así como los perjuicios que ocasiona a los demás consorcistas el incumplimiento de uno de ellos en el pago de aquellas. Los intereses máximos correspondientes a la deuda por expensas comunes en ejecución, se fijan en la tasa del 36 % anual comprensivos de moratorios y punitorios. </w:t>
      </w:r>
      <w:r>
        <w:rPr>
          <w:color w:val="000000"/>
          <w:lang w:val="es-AR" w:eastAsia="es-AR" w:bidi="es-AR"/>
        </w:rPr>
        <w:t xml:space="preserve">(confr. en sentido análogo CC0000 DO 86109 RSD-461-7 I 28/09/2007).</w:t>
      </w:r>
    </w:p>
    <w:p>
      <w:pPr>
        <w:pStyle w:val="[Normal]"/>
        <w:spacing w:line="480" w:lineRule="auto"/>
        <w:ind w:firstLine="1134"/>
        <w:jc w:val="both"/>
        <w:rPr>
          <w:color w:val="000000"/>
          <w:lang w:val="es-AR" w:eastAsia="es-AR" w:bidi="es-AR"/>
        </w:rPr>
      </w:pPr>
      <w:r>
        <w:rPr>
          <w:color w:val="000000"/>
          <w:lang w:val="es-AR" w:eastAsia="es-AR" w:bidi="es-AR"/>
        </w:rPr>
        <w:t xml:space="preserve">Por último es menester destacar respecto de la pretendida tasa activa, que el Superior Tribunal provincial ha señalado que en el caso de fijación judicial </w:t>
      </w:r>
      <w:r>
        <w:rPr>
          <w:i/>
          <w:color w:val="000000"/>
          <w:lang w:val="es-AR" w:eastAsia="es-AR" w:bidi="es-AR"/>
        </w:rPr>
        <w:t xml:space="preserve">"...corresponde tener en cuenta que la tasa activa de intereses no hace referencia a un rubro resarcitorio sólo proveniente del daño o cuantificación de un rubro indemnizatorio, que el acreedor experimenta a raíz del retardo imputable al deudor en repararlo, porque para obtener la denominada activa el banco toma en cuenta diversos elementos tales como la tasa pasiva derivada de la captación de depósitos, los gastos operativos propios, su ganancia, el encaje y el riesgo, lo cual implica cargarle indebidamente al incumplidor moroso componentes relativos al costo financiero propio de las entidades que se dedican a la intermediación de capitales."</w:t>
      </w:r>
      <w:r>
        <w:rPr>
          <w:color w:val="000000"/>
          <w:lang w:val="es-AR" w:eastAsia="es-AR" w:bidi="es-AR"/>
        </w:rPr>
        <w:t xml:space="preserve"> (Ac.88.502, sent. del 31-8-2005; B 67139 del 5-5-2010, ent. ots.). </w:t>
      </w:r>
    </w:p>
    <w:p>
      <w:pPr>
        <w:pStyle w:val="[Normal]"/>
        <w:spacing w:line="480" w:lineRule="auto"/>
        <w:ind w:firstLine="1134"/>
        <w:jc w:val="both"/>
        <w:rPr>
          <w:color w:val="000000"/>
          <w:lang w:val="es-AR" w:eastAsia="es-AR" w:bidi="es-AR"/>
        </w:rPr>
      </w:pPr>
      <w:r>
        <w:rPr>
          <w:color w:val="000000"/>
          <w:lang w:val="es-AR" w:eastAsia="es-AR" w:bidi="es-AR"/>
        </w:rPr>
        <w:t xml:space="preserve">En dicho orden la Suprema Corte de la Provincia, ha meritado la evolución de las distintas tasas de interés pasivas aplicadas por el Banco de la Provincia de Buenos Aires, precisando el criterio que el Tribunal ha mantenido en carácter de doctrina legal y así lo ha hecho tanto en los supuestos de aplicación del art. 622 del Código de Vélez como en los del inc. "c" del art. 768 del Código Civil y Comercial, disponiendo que los intereses deben calcularse exclusivamente sobre el capital, mediante la utilización de la tasa pasiva más alta fijada por el Banco de la Provincia de Buenos en sus depósitos a treinta (30) días, vigente al inicio de cada uno de los períodos comprendidos y, por aquellos días que no alcancen a cubrir el lapso señalado, el cálculo debe ser diario con igual tasa (confr. causas "Cabrera", 15/6/16; "Ubertalli", 18/5/16; "Martinez", 28/10/16; "Del Pino", 12/7/17; "Noble", 16/8/17).</w:t>
      </w:r>
    </w:p>
    <w:p>
      <w:pPr>
        <w:pStyle w:val="[Normal]"/>
        <w:spacing w:line="480" w:lineRule="auto"/>
        <w:ind w:firstLine="1134"/>
        <w:jc w:val="both"/>
        <w:rPr>
          <w:color w:val="000000"/>
          <w:lang w:val="es-AR" w:eastAsia="es-AR" w:bidi="es-AR"/>
        </w:rPr>
      </w:pPr>
      <w:r>
        <w:rPr>
          <w:color w:val="000000"/>
          <w:lang w:val="es-AR" w:eastAsia="es-AR" w:bidi="es-AR"/>
        </w:rPr>
        <w:t xml:space="preserve">Es por ello, que como dijera anteriormente, la tasa de interés del 36% anual, comprensiva de los accesorios punitorios y moratorios -índice próximo al de la tasa pasiva más alta del citado Banco oficial-, es la que entiendo se ajusta a derecho en autos.</w:t>
      </w:r>
    </w:p>
    <w:p>
      <w:pPr>
        <w:pStyle w:val="[Normal]"/>
        <w:spacing w:line="480" w:lineRule="auto"/>
        <w:ind w:firstLine="1134"/>
        <w:jc w:val="both"/>
        <w:rPr>
          <w:color w:val="000000"/>
          <w:lang w:val="es-AR" w:eastAsia="es-AR" w:bidi="es-AR"/>
        </w:rPr>
      </w:pPr>
      <w:r>
        <w:rPr>
          <w:color w:val="000000"/>
          <w:lang w:val="es-AR" w:eastAsia="es-AR" w:bidi="es-AR"/>
        </w:rPr>
        <w:t xml:space="preserve">Propongo al Acuerdo en consecuencia, la confirmación del fallo recurrido, modificando únicamente la tasa de interés aplicable que se establece en el índice referido, con costas de Alzada a la ejecutada perdidosa (arts.768, 769 y ccs. del C.C.C.).</w:t>
      </w:r>
    </w:p>
    <w:p>
      <w:pPr>
        <w:pStyle w:val="[Normal]"/>
        <w:spacing w:line="480" w:lineRule="auto"/>
        <w:ind w:firstLine="1134"/>
        <w:jc w:val="both"/>
        <w:rPr>
          <w:color w:val="000000"/>
          <w:lang w:val="es-AR" w:eastAsia="es-AR" w:bidi="es-AR"/>
        </w:rPr>
      </w:pPr>
      <w:r>
        <w:rPr>
          <w:color w:val="000000"/>
          <w:lang w:val="es-AR" w:eastAsia="es-AR" w:bidi="es-AR"/>
        </w:rPr>
        <w:t xml:space="preserve">Por las razones dadas, citas legales  y con el alcance indicado,</w:t>
      </w:r>
    </w:p>
    <w:p>
      <w:pPr>
        <w:pStyle w:val="[Normal]"/>
        <w:spacing w:line="48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la Sra. Jueza Dra. Denise SCAGLIA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A la segunda cuestión el señor Juez Dr. Luciano C. SAVIGNANO, dijo:</w:t>
      </w:r>
    </w:p>
    <w:p>
      <w:pPr>
        <w:pStyle w:val="[Normal]"/>
        <w:spacing w:line="48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480" w:lineRule="auto"/>
        <w:ind w:firstLine="1134"/>
        <w:jc w:val="both"/>
        <w:rPr>
          <w:color w:val="000000"/>
          <w:lang w:val="es-AR" w:eastAsia="es-AR" w:bidi="es-AR"/>
        </w:rPr>
      </w:pPr>
      <w:r>
        <w:rPr>
          <w:color w:val="000000"/>
          <w:lang w:val="es-AR" w:eastAsia="es-AR" w:bidi="es-AR"/>
        </w:rPr>
        <w:t xml:space="preserve">Desestimar el recurso interpuesto por la codemandada y acoger parcialmente el deducido por la parte actora, y en consecuencia confirmar la sentencia de fs. 90, modificando únicamente la tasa de interés aplicable que se establece en el 36% anual comprensiva de los accesorios punitorios y moratorios (arts. 522, 542 a contrario sensu y ccs. del CPCC; arts. 103, 249 inc.a, 768/771 y ccs. del C.C.C.).</w:t>
      </w:r>
    </w:p>
    <w:p>
      <w:pPr>
        <w:pStyle w:val="[Normal]"/>
        <w:spacing w:line="480" w:lineRule="auto"/>
        <w:ind w:firstLine="1134"/>
        <w:jc w:val="both"/>
        <w:rPr>
          <w:color w:val="000000"/>
          <w:lang w:val="es-AR" w:eastAsia="es-AR" w:bidi="es-AR"/>
        </w:rPr>
      </w:pPr>
      <w:r>
        <w:rPr>
          <w:color w:val="000000"/>
          <w:lang w:val="es-AR" w:eastAsia="es-AR" w:bidi="es-AR"/>
        </w:rPr>
        <w:t xml:space="preserve">Costas de Alzada a la codemandada perdidosa (arts. 68/9 del CPCC).</w:t>
      </w:r>
    </w:p>
    <w:p>
      <w:pPr>
        <w:pStyle w:val="[Normal]"/>
        <w:spacing w:line="480" w:lineRule="auto"/>
        <w:ind w:firstLine="1134"/>
        <w:jc w:val="both"/>
        <w:rPr>
          <w:color w:val="000000"/>
          <w:lang w:val="es-AR" w:eastAsia="es-AR" w:bidi="es-AR"/>
        </w:rPr>
      </w:pPr>
      <w:r>
        <w:rPr>
          <w:color w:val="000000"/>
          <w:lang w:val="es-AR" w:eastAsia="es-AR" w:bidi="es-AR"/>
        </w:rPr>
        <w:t xml:space="preserve">Diferir la regulación de honorarios de los letrados intervinientes hasta que obre la correspondiente a la instancia de origen (art. 31 ley arancelaria).</w:t>
      </w:r>
    </w:p>
    <w:p>
      <w:pPr>
        <w:pStyle w:val="[Normal]"/>
        <w:spacing w:line="480" w:lineRule="auto"/>
        <w:ind w:firstLine="1134"/>
        <w:jc w:val="both"/>
        <w:rPr>
          <w:color w:val="000000"/>
          <w:lang w:val="es-AR" w:eastAsia="es-AR" w:bidi="es-AR"/>
        </w:rPr>
      </w:pPr>
      <w:r>
        <w:rPr>
          <w:color w:val="000000"/>
          <w:lang w:val="es-AR" w:eastAsia="es-AR" w:bidi="es-AR"/>
        </w:rPr>
        <w:t xml:space="preserve">ASI LO VOTO. </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la Sra. Jueza Dra. Denise SCAGLIA,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48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480" w:lineRule="auto"/>
        <w:ind w:firstLine="1134"/>
        <w:jc w:val="both"/>
        <w:rPr>
          <w:color w:val="000000"/>
          <w:lang w:val="es-AR" w:eastAsia="es-AR" w:bidi="es-AR"/>
        </w:rPr>
      </w:pPr>
      <w:r>
        <w:rPr>
          <w:color w:val="000000"/>
          <w:lang w:val="es-AR" w:eastAsia="es-AR" w:bidi="es-AR"/>
        </w:rPr>
        <w:t xml:space="preserve">Desestimar el recurso interpuesto por la codemandada y acoger parcialmente el deducido por la parte actora, y en consecuencia confirmar la sentencia de fs. 90, modificando únicamente la tasa de interés aplicable que se establece en el 36% anual comprensiva de los accesorios punitorios y moratorios (arts. 522, 542 a contrario sensu y ccs. del CPCC; arts. 103, 249 inc.a, 768/771 y ccs. del C.C.C.).</w:t>
      </w:r>
    </w:p>
    <w:p>
      <w:pPr>
        <w:pStyle w:val="[Normal]"/>
        <w:spacing w:line="480" w:lineRule="auto"/>
        <w:ind w:firstLine="1134"/>
        <w:jc w:val="both"/>
        <w:rPr>
          <w:color w:val="000000"/>
          <w:lang w:val="es-AR" w:eastAsia="es-AR" w:bidi="es-AR"/>
        </w:rPr>
      </w:pPr>
      <w:r>
        <w:rPr>
          <w:color w:val="000000"/>
          <w:lang w:val="es-AR" w:eastAsia="es-AR" w:bidi="es-AR"/>
        </w:rPr>
        <w:t xml:space="preserve">Costas de Alzada a la codemandada perdidosa (arts. 68/9 del CPCC).</w:t>
      </w:r>
    </w:p>
    <w:p>
      <w:pPr>
        <w:pStyle w:val="[Normal]"/>
        <w:spacing w:line="480" w:lineRule="auto"/>
        <w:ind w:firstLine="1134"/>
        <w:jc w:val="both"/>
        <w:rPr>
          <w:color w:val="000000"/>
          <w:lang w:val="es-AR" w:eastAsia="es-AR" w:bidi="es-AR"/>
        </w:rPr>
      </w:pPr>
      <w:r>
        <w:rPr>
          <w:color w:val="000000"/>
          <w:lang w:val="es-AR" w:eastAsia="es-AR" w:bidi="es-AR"/>
        </w:rPr>
        <w:t xml:space="preserve">Diferir la regulación de honorarios de los letrados intervinientes hasta que obre la correspondiente a la instancia de origen (art. 31 ley arancelaria).</w:t>
      </w:r>
    </w:p>
    <w:p>
      <w:pPr>
        <w:pStyle w:val="[Normal]"/>
        <w:spacing w:line="480" w:lineRule="auto"/>
        <w:ind w:firstLine="1134"/>
        <w:jc w:val="both"/>
        <w:rPr>
          <w:color w:val="000000"/>
          <w:lang w:val="es-AR" w:eastAsia="es-AR" w:bidi="es-AR"/>
        </w:rPr>
      </w:pPr>
      <w:r>
        <w:rPr>
          <w:color w:val="000000"/>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both"/>
        <w:rPr>
          <w:b/>
          <w:color w:val="000000"/>
          <w:sz w:val="20"/>
          <w:lang w:val="es-AR" w:eastAsia="es-AR" w:bidi="es-AR"/>
        </w:rPr>
      </w:pPr>
    </w:p>
    <w:p>
      <w:pPr>
        <w:pStyle w:val="[Normal]"/>
        <w:ind w:firstLine="1134"/>
        <w:jc w:val="both"/>
        <w:rPr>
          <w:b/>
          <w:color w:val="000000"/>
          <w:sz w:val="20"/>
          <w:lang w:val="es-AR" w:eastAsia="es-AR" w:bidi="es-AR"/>
        </w:rPr>
      </w:pPr>
      <w:r>
        <w:rPr>
          <w:b/>
          <w:color w:val="000000"/>
          <w:sz w:val="20"/>
          <w:lang w:val="es-AR" w:eastAsia="es-AR" w:bidi="es-AR"/>
        </w:rPr>
        <w:t xml:space="preserve">                           </w:t>
      </w:r>
    </w:p>
    <w:p>
      <w:pPr>
        <w:pStyle w:val="[Normal]"/>
        <w:ind w:firstLine="1134"/>
        <w:jc w:val="both"/>
        <w:rPr>
          <w:b/>
          <w:color w:val="000000"/>
          <w:sz w:val="20"/>
          <w:lang w:val="es-AR" w:eastAsia="es-AR" w:bidi="es-AR"/>
        </w:rPr>
      </w:pPr>
      <w:r>
        <w:rPr>
          <w:b/>
          <w:color w:val="000000"/>
          <w:sz w:val="20"/>
          <w:lang w:val="es-AR" w:eastAsia="es-AR" w:bidi="es-AR"/>
        </w:rPr>
        <w:t xml:space="preserve">                          Luciano C. SAVIGNANO</w:t>
      </w:r>
    </w:p>
    <w:p>
      <w:pPr>
        <w:pStyle w:val="[Normal]"/>
        <w:ind w:firstLine="1134"/>
        <w:jc w:val="both"/>
        <w:rPr>
          <w:b/>
          <w:color w:val="000000"/>
          <w:sz w:val="20"/>
          <w:lang w:val="es-AR" w:eastAsia="es-AR" w:bidi="es-AR"/>
        </w:rPr>
      </w:pPr>
      <w:r>
        <w:rPr>
          <w:b/>
          <w:color w:val="000000"/>
          <w:sz w:val="20"/>
          <w:lang w:val="es-AR" w:eastAsia="es-AR" w:bidi="es-AR"/>
        </w:rPr>
        <w:t xml:space="preserve">                                        -Juez-</w:t>
      </w:r>
    </w:p>
    <w:p>
      <w:pPr>
        <w:pStyle w:val="[Normal]"/>
        <w:ind w:firstLine="1134"/>
        <w:jc w:val="both"/>
        <w:rPr>
          <w:b/>
          <w:color w:val="000000"/>
          <w:sz w:val="20"/>
          <w:lang w:val="es-AR" w:eastAsia="es-AR" w:bidi="es-AR"/>
        </w:rPr>
      </w:pPr>
    </w:p>
    <w:p>
      <w:pPr>
        <w:pStyle w:val="[Normal]"/>
        <w:jc w:val="both"/>
        <w:rPr>
          <w:b/>
          <w:color w:val="000000"/>
          <w:sz w:val="20"/>
          <w:lang w:val="es-AR" w:eastAsia="es-AR" w:bidi="es-AR"/>
        </w:rPr>
      </w:pPr>
      <w:r>
        <w:rPr>
          <w:b/>
          <w:color w:val="000000"/>
          <w:sz w:val="20"/>
          <w:lang w:val="es-AR" w:eastAsia="es-AR" w:bidi="es-AR"/>
        </w:rPr>
        <w:t xml:space="preserve">    </w:t>
      </w:r>
    </w:p>
    <w:p>
      <w:pPr>
        <w:pStyle w:val="[Normal]"/>
        <w:jc w:val="both"/>
        <w:rPr>
          <w:b/>
          <w:color w:val="000000"/>
          <w:sz w:val="20"/>
          <w:lang w:val="es-AR" w:eastAsia="es-AR" w:bidi="es-AR"/>
        </w:rPr>
      </w:pPr>
    </w:p>
    <w:p>
      <w:pPr>
        <w:pStyle w:val="[Normal]"/>
        <w:jc w:val="both"/>
        <w:rPr>
          <w:b/>
          <w:color w:val="000000"/>
          <w:sz w:val="20"/>
          <w:lang w:val="es-AR" w:eastAsia="es-AR" w:bidi="es-AR"/>
        </w:rPr>
      </w:pPr>
    </w:p>
    <w:p>
      <w:pPr>
        <w:pStyle w:val="[Normal]"/>
        <w:jc w:val="both"/>
        <w:rPr>
          <w:b/>
          <w:color w:val="000000"/>
          <w:sz w:val="20"/>
          <w:lang w:val="es-AR" w:eastAsia="es-AR" w:bidi="es-AR"/>
        </w:rPr>
      </w:pPr>
      <w:r>
        <w:rPr>
          <w:b/>
          <w:color w:val="000000"/>
          <w:sz w:val="20"/>
          <w:lang w:val="es-AR" w:eastAsia="es-AR" w:bidi="es-AR"/>
        </w:rPr>
        <w:t xml:space="preserve">Denise SCAGLIA</w:t>
      </w:r>
    </w:p>
    <w:p>
      <w:pPr>
        <w:pStyle w:val="[Normal]"/>
        <w:jc w:val="both"/>
        <w:rPr>
          <w:b/>
          <w:color w:val="000000"/>
          <w:sz w:val="20"/>
          <w:lang w:val="es-AR" w:eastAsia="es-AR" w:bidi="es-AR"/>
        </w:rPr>
      </w:pPr>
      <w:r>
        <w:rPr>
          <w:b/>
          <w:color w:val="000000"/>
          <w:sz w:val="20"/>
          <w:lang w:val="es-AR" w:eastAsia="es-AR" w:bidi="es-AR"/>
        </w:rPr>
        <w:t xml:space="preserve">        -Jueza-</w:t>
      </w:r>
    </w:p>
    <w:p>
      <w:pPr>
        <w:pStyle w:val="[Normal]"/>
        <w:jc w:val="both"/>
        <w:rPr>
          <w:b/>
          <w:color w:val="000000"/>
          <w:sz w:val="20"/>
          <w:lang w:val="es-AR" w:eastAsia="es-AR" w:bidi="es-AR"/>
        </w:rPr>
      </w:pPr>
      <w:r>
        <w:rPr>
          <w:b/>
          <w:color w:val="000000"/>
          <w:sz w:val="20"/>
          <w:lang w:val="es-AR" w:eastAsia="es-AR" w:bidi="es-AR"/>
        </w:rPr>
        <w:t xml:space="preserve">                                              </w:t>
      </w:r>
    </w:p>
    <w:p>
      <w:pPr>
        <w:pStyle w:val="[Normal]"/>
        <w:jc w:val="both"/>
        <w:rPr>
          <w:b/>
          <w:color w:val="000000"/>
          <w:sz w:val="20"/>
          <w:lang w:val="es-AR" w:eastAsia="es-AR" w:bidi="es-AR"/>
        </w:rPr>
      </w:pPr>
    </w:p>
    <w:p>
      <w:pPr>
        <w:pStyle w:val="[Normal]"/>
        <w:jc w:val="both"/>
        <w:rPr>
          <w:b/>
          <w:color w:val="000000"/>
          <w:sz w:val="20"/>
          <w:lang w:val="es-AR" w:eastAsia="es-AR" w:bidi="es-AR"/>
        </w:rPr>
      </w:pPr>
    </w:p>
    <w:p>
      <w:pPr>
        <w:pStyle w:val="[Normal]"/>
        <w:jc w:val="both"/>
        <w:rPr>
          <w:b/>
          <w:color w:val="000000"/>
          <w:sz w:val="18"/>
          <w:lang w:val="es-AR" w:eastAsia="es-AR" w:bidi="es-AR"/>
        </w:rPr>
      </w:pPr>
      <w:r>
        <w:rPr>
          <w:b/>
          <w:color w:val="000000"/>
          <w:sz w:val="20"/>
          <w:lang w:val="es-AR" w:eastAsia="es-AR" w:bidi="es-AR"/>
        </w:rPr>
        <w:t xml:space="preserve">                                                      </w:t>
      </w:r>
      <w:r>
        <w:rPr>
          <w:b/>
          <w:color w:val="000000"/>
          <w:sz w:val="18"/>
          <w:lang w:val="es-AR" w:eastAsia="es-AR" w:bidi="es-AR"/>
        </w:rPr>
        <w:t xml:space="preserve"> Luis María BIANCO</w:t>
      </w:r>
    </w:p>
    <w:p>
      <w:pPr>
        <w:pStyle w:val="[Normal]"/>
        <w:rPr>
          <w:b/>
          <w:color w:val="000000"/>
          <w:sz w:val="18"/>
          <w:lang w:val="es-AR" w:eastAsia="es-AR" w:bidi="es-AR"/>
        </w:rPr>
      </w:pPr>
      <w:r>
        <w:rPr>
          <w:b/>
          <w:color w:val="000000"/>
          <w:sz w:val="18"/>
          <w:lang w:val="es-AR" w:eastAsia="es-AR" w:bidi="es-AR"/>
        </w:rPr>
        <w:t xml:space="preserve">                                                              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