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 	Registro N°  44 /</w:t>
      </w:r>
      <w:r>
        <w:rPr>
          <w:b/>
          <w:color w:val="000000"/>
          <w:lang w:val="es-AR" w:eastAsia="es-AR" w:bidi="es-AR"/>
        </w:rPr>
        <w:t xml:space="preserve">2019</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277/281</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11 de abril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2750-16</w:t>
      </w:r>
      <w:r>
        <w:rPr>
          <w:lang w:val="es-AR" w:eastAsia="es-AR" w:bidi="es-AR"/>
        </w:rPr>
        <w:t xml:space="preserve"> caratulada </w:t>
      </w:r>
      <w:r>
        <w:rPr>
          <w:b/>
          <w:lang w:val="es-AR" w:eastAsia="es-AR" w:bidi="es-AR"/>
        </w:rPr>
        <w:t xml:space="preserve">"</w:t>
      </w:r>
      <w:r>
        <w:rPr>
          <w:b/>
          <w:color w:val="000000"/>
          <w:lang w:val="es-AR" w:eastAsia="es-AR" w:bidi="es-AR"/>
        </w:rPr>
        <w:t xml:space="preserve">CONTINO, ADELA S/ SUCESION AB-INTESTATO (21)</w:t>
      </w:r>
      <w:r>
        <w:rPr>
          <w:b/>
          <w:lang w:val="es-AR" w:eastAsia="es-AR" w:bidi="es-AR"/>
        </w:rPr>
        <w:t xml:space="preserve">"</w:t>
      </w:r>
      <w:r>
        <w:rPr>
          <w:lang w:val="es-AR" w:eastAsia="es-AR" w:bidi="es-AR"/>
        </w:rPr>
        <w:t xml:space="preserve">, Expte. </w:t>
      </w:r>
      <w:r>
        <w:rPr>
          <w:color w:val="000000"/>
          <w:lang w:val="es-AR" w:eastAsia="es-AR" w:bidi="es-AR"/>
        </w:rPr>
        <w:t xml:space="preserve">39.204</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Dres. Graciela Scaraffia y Roberto Degleue, y estudiados los autos se resolvió plantear y votar las siguientes: </w:t>
      </w:r>
    </w:p>
    <w:p>
      <w:pPr>
        <w:pStyle w:val="[Normal]"/>
        <w:spacing w:line="48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480" w:lineRule="auto"/>
        <w:ind w:firstLine="1134"/>
        <w:jc w:val="both"/>
        <w:rPr>
          <w:color w:val="000000"/>
          <w:lang w:val="es-AR" w:eastAsia="es-AR" w:bidi="es-AR"/>
        </w:rPr>
      </w:pPr>
      <w:r>
        <w:rPr>
          <w:lang w:val="es-AR" w:eastAsia="es-AR" w:bidi="es-AR"/>
        </w:rPr>
        <w:t xml:space="preserve">El Sr. Juez de la anterior instancia no hizo lugar a lo peticionado en lo</w:t>
      </w:r>
      <w:r>
        <w:rPr>
          <w:color w:val="000000"/>
          <w:lang w:val="es-AR" w:eastAsia="es-AR" w:bidi="es-AR"/>
        </w:rPr>
        <w:t xml:space="preserve">s puntos II) y III) del escrito electrónico de fecha 9/11/18, advierte que lo pretendido no fue lo que ha sido resuelto en la resolución de Fs. 344/348. Asimismo, ello  tampoco fue pedido ni  resuelto en el juicio de colación habido entre partes. Amén de lo expuesto, consideró que lo requerido resulta ajeno al marco del presente trámite, debiendo ser reclamado o ventilado -en caso de corresponder- a través de las acción prevista al efecto en el código de fondo.-</w:t>
      </w:r>
    </w:p>
    <w:p>
      <w:pPr>
        <w:pStyle w:val="[Normal]"/>
        <w:spacing w:line="480" w:lineRule="auto"/>
        <w:ind w:firstLine="1134"/>
        <w:jc w:val="both"/>
        <w:rPr>
          <w:lang w:val="es-AR" w:eastAsia="es-AR" w:bidi="es-AR"/>
        </w:rPr>
      </w:pPr>
      <w:r>
        <w:rPr>
          <w:lang w:val="es-AR" w:eastAsia="es-AR" w:bidi="es-AR"/>
        </w:rPr>
        <w:t xml:space="preserve">Tal decisorio fue objeto del recurso de apelación por parte de la heredera, mediante el escrito electrónico de fecha 29/11/2018, concedido en relación y con ambos efectos a fs. 402.  A fs. 403 llamamiento de autos, providencia, que firme a la fecha deja la causa en condiciones de ser fallada.</w:t>
      </w:r>
    </w:p>
    <w:p>
      <w:pPr>
        <w:pStyle w:val="[Normal]"/>
        <w:spacing w:line="480" w:lineRule="auto"/>
        <w:ind w:firstLine="1134"/>
        <w:jc w:val="both"/>
        <w:rPr>
          <w:lang w:val="es-AR" w:eastAsia="es-AR" w:bidi="es-AR"/>
        </w:rPr>
      </w:pPr>
      <w:r>
        <w:rPr>
          <w:lang w:val="es-AR" w:eastAsia="es-AR" w:bidi="es-AR"/>
        </w:rPr>
        <w:t xml:space="preserve">Tras un minucioso examen de las constancias de autos, he de adentrarme en el análisis del agravio vertido por la apelante contra la resolución de fs. 400 a tenor de la cual el </w:t>
      </w:r>
      <w:r>
        <w:rPr>
          <w:i/>
          <w:lang w:val="es-AR" w:eastAsia="es-AR" w:bidi="es-AR"/>
        </w:rPr>
        <w:t xml:space="preserve">a quo</w:t>
      </w:r>
      <w:r>
        <w:rPr>
          <w:lang w:val="es-AR" w:eastAsia="es-AR" w:bidi="es-AR"/>
        </w:rPr>
        <w:t xml:space="preserve"> interpretó que </w:t>
      </w:r>
      <w:r>
        <w:rPr>
          <w:i/>
          <w:lang w:val="es-AR" w:eastAsia="es-AR" w:bidi="es-AR"/>
        </w:rPr>
        <w:t xml:space="preserve">"el saldo acreedor de $ 207.000 en favor de las coherederas Teresa y Eugenia Gambino, en razón de la imputación del bien donado a la porción hereditaria que le corresponde a la heredera Alicia Gambino"  </w:t>
      </w:r>
      <w:r>
        <w:rPr>
          <w:lang w:val="es-AR" w:eastAsia="es-AR" w:bidi="es-AR"/>
        </w:rPr>
        <w:t xml:space="preserve">tal como fuere expresado en la resolución de grado obrante a fs. 344/348 no implica el reconocimiento judicial de un crédito en favor de las nombradas coherederas. 	</w:t>
        <w:br w:type="textWrapping"/>
      </w:r>
      <w:r>
        <w:rPr>
          <w:lang w:val="es-AR" w:eastAsia="es-AR" w:bidi="es-AR"/>
        </w:rPr>
        <w:t xml:space="preserve"> 	Establecida la cuestión en estos términos, corresponde determinar si la interpretación que el </w:t>
      </w:r>
      <w:r>
        <w:rPr>
          <w:i/>
          <w:lang w:val="es-AR" w:eastAsia="es-AR" w:bidi="es-AR"/>
        </w:rPr>
        <w:t xml:space="preserve">a quo</w:t>
      </w:r>
      <w:r>
        <w:rPr>
          <w:lang w:val="es-AR" w:eastAsia="es-AR" w:bidi="es-AR"/>
        </w:rPr>
        <w:t xml:space="preserve"> efectúa a fs. 400 respecto de los alcances de la resolución dictada a fs. 344/348 se ajusta o no a derecho.	</w:t>
        <w:br w:type="textWrapping"/>
      </w:r>
      <w:r>
        <w:rPr>
          <w:lang w:val="es-AR" w:eastAsia="es-AR" w:bidi="es-AR"/>
        </w:rPr>
        <w:t xml:space="preserve"> 	En este sentido, advierto que si bien el Juez de grado refiere que la alusión a la existencia de un saldo acreedor a favor de las coherederas no implicó el reconocimiento de un crédito en cabeza de éstas, sino que </w:t>
      </w:r>
      <w:r>
        <w:rPr>
          <w:i/>
          <w:lang w:val="es-AR" w:eastAsia="es-AR" w:bidi="es-AR"/>
        </w:rPr>
        <w:t xml:space="preserve">"obedeció al hecho de querer explicitar de la forma más clara y sencilla posible el modo en que debía llevarse a cabo la operación contable aplicable en autos", </w:t>
      </w:r>
      <w:r>
        <w:rPr>
          <w:lang w:val="es-AR" w:eastAsia="es-AR" w:bidi="es-AR"/>
        </w:rPr>
        <w:t xml:space="preserve">lo cierto es que la expresión empleada en la resolución de fs. 344/388 reviste un carácter objetivamente determinativo, y no meramente explicativo.	</w:t>
        <w:br w:type="textWrapping"/>
      </w:r>
      <w:r>
        <w:rPr>
          <w:lang w:val="es-AR" w:eastAsia="es-AR" w:bidi="es-AR"/>
        </w:rPr>
        <w:t xml:space="preserve"> 	En rigor, el reconocimiento judicial de este saldo acreedor en favor de las coherederas Teresa y Eugenia Gambino no sólo ha sido objeto de una declaración expresa y precisa del Juez de grado, sino que además se desprende como la consecuencia lógica de la determinación del valor de los bienes imputados a las porciones hereditarias de los sucesores declarados judicialmente, a la cual el </w:t>
      </w:r>
      <w:r>
        <w:rPr>
          <w:i/>
          <w:lang w:val="es-AR" w:eastAsia="es-AR" w:bidi="es-AR"/>
        </w:rPr>
        <w:t xml:space="preserve">a quo </w:t>
      </w:r>
      <w:r>
        <w:rPr>
          <w:lang w:val="es-AR" w:eastAsia="es-AR" w:bidi="es-AR"/>
        </w:rPr>
        <w:t xml:space="preserve">le asignó un sentido inequívocamente dispositivo.</w:t>
      </w:r>
    </w:p>
    <w:p>
      <w:pPr>
        <w:pStyle w:val="[Normal]"/>
        <w:spacing w:line="480" w:lineRule="auto"/>
        <w:ind w:firstLine="1134"/>
        <w:jc w:val="both"/>
        <w:rPr>
          <w:lang w:val="es-AR" w:eastAsia="es-AR" w:bidi="es-AR"/>
        </w:rPr>
      </w:pPr>
      <w:r>
        <w:rPr>
          <w:lang w:val="es-AR" w:eastAsia="es-AR" w:bidi="es-AR"/>
        </w:rPr>
        <w:t xml:space="preserve">Independientemente de si la acción de colación posibilita el reconocimiento de un derecho de crédito ante el colacionante por la diferencia entre el valor de los bienes colacionables y la porción hereditaria no integrada de los titulares de esta acción o bien debe circunscribirse a una mera imputación contable que compute el valor de lo donado a la cuota del colacionante y compensación de los demás en bienes hereditarios a los que fueron donados, tal cuestión no ha sido materia específica de agravio en su oportunidad, por lo que corresponde reputar firme lo dispuesto en la resolución de fs. 384/388, no abriéndose la competencia revisora de este organismo en relación a tal punto.</w:t>
      </w:r>
    </w:p>
    <w:p>
      <w:pPr>
        <w:pStyle w:val="[Normal]"/>
        <w:spacing w:line="480" w:lineRule="auto"/>
        <w:ind w:firstLine="1134"/>
        <w:jc w:val="both"/>
        <w:rPr>
          <w:lang w:val="es-AR" w:eastAsia="es-AR" w:bidi="es-AR"/>
        </w:rPr>
      </w:pPr>
      <w:r>
        <w:rPr>
          <w:lang w:val="es-AR" w:eastAsia="es-AR" w:bidi="es-AR"/>
        </w:rPr>
        <w:t xml:space="preserve">En otro orden, no es ocioso señalar que la Corte Nacional ha definido a la sentencia como </w:t>
      </w:r>
      <w:r>
        <w:rPr>
          <w:i/>
          <w:lang w:val="es-AR" w:eastAsia="es-AR" w:bidi="es-AR"/>
        </w:rPr>
        <w:t xml:space="preserve">"acto inescindible, una unidad lógica jurídica cuya parte dispositiva debe ser la conclusión final y necesaria, por derivación razonada, del análisis de los presupuestos fácticos y normativos efectuados en su fundamentación"</w:t>
      </w:r>
      <w:r>
        <w:rPr>
          <w:lang w:val="es-AR" w:eastAsia="es-AR" w:bidi="es-AR"/>
        </w:rPr>
        <w:t xml:space="preserve"> (conf. CSJN, 27-6-89, ED, 134-723). De modo que toda interpretación de la sentencia que pretenda neutralizar la incidencia práctica de los considerandos en la decisión final debe ser apreciada con criterio restrictivo.</w:t>
      </w:r>
    </w:p>
    <w:p>
      <w:pPr>
        <w:pStyle w:val="[Normal]"/>
        <w:spacing w:line="480" w:lineRule="auto"/>
        <w:ind w:firstLine="1134"/>
        <w:jc w:val="both"/>
        <w:rPr>
          <w:lang w:val="es-AR" w:eastAsia="es-AR" w:bidi="es-AR"/>
        </w:rPr>
      </w:pPr>
      <w:r>
        <w:rPr>
          <w:lang w:val="es-AR" w:eastAsia="es-AR" w:bidi="es-AR"/>
        </w:rPr>
        <w:t xml:space="preserve">Sobre esta tónica, la Sala III de la Cámara de Apelaciones en lo Civil y Comercial de Lomas de Zamora ha sostenido que el contenido de los considerandos integra el objeto de la decisión judicial: </w:t>
      </w:r>
      <w:r>
        <w:rPr>
          <w:i/>
          <w:lang w:val="es-AR" w:eastAsia="es-AR" w:bidi="es-AR"/>
        </w:rPr>
        <w:t xml:space="preserve">"En el caso concreto de autos, la omisión alegada por el recurrente, no priva de claridad a la sentencia; por cuanto sus motivaciones o considerandos, por su carácter, forman con la parte dispositiva -aunque no estén expresamente receptados en ella-, una unidad funcional susceptible de hacer cosa juzgada. De allí que el hecho de no figurar todo lo resuelto en la parte dispositiva, que es sin duda donde se polariza el mandato del juez, debe suplirse o interpretarse por lo que él mismo ha dicho claramente al fundar su resolución"</w:t>
      </w:r>
      <w:r>
        <w:rPr>
          <w:lang w:val="es-AR" w:eastAsia="es-AR" w:bidi="es-AR"/>
        </w:rPr>
        <w:t xml:space="preserve"> (Cámara de Apelaciones en lo Civil y Comercial de Lomas de Zamora, Sala III, "JOURDON MARCELO ALBERTO Y OTRO/A C/ CONTRERAS VERA VICTOR S/ DAÑOS Y PERJUICIOS", 9 de Mayo de 2013).</w:t>
      </w:r>
    </w:p>
    <w:p>
      <w:pPr>
        <w:pStyle w:val="[Normal]"/>
        <w:spacing w:line="480" w:lineRule="auto"/>
        <w:ind w:firstLine="1134"/>
        <w:jc w:val="both"/>
        <w:rPr>
          <w:lang w:val="es-AR" w:eastAsia="es-AR" w:bidi="es-AR"/>
        </w:rPr>
      </w:pPr>
      <w:r>
        <w:rPr>
          <w:lang w:val="es-AR" w:eastAsia="es-AR" w:bidi="es-AR"/>
        </w:rPr>
        <w:t xml:space="preserve">Finalmente, esta Cámara ha resuelto en similar sentido que: </w:t>
      </w:r>
      <w:r>
        <w:rPr>
          <w:i/>
          <w:lang w:val="es-AR" w:eastAsia="es-AR" w:bidi="es-AR"/>
        </w:rPr>
        <w:t xml:space="preserve">"la parte dispositiva de la sentencia se integra con sus fundamentos, vertidos en los considerandos"</w:t>
      </w:r>
      <w:r>
        <w:rPr>
          <w:lang w:val="es-AR" w:eastAsia="es-AR" w:bidi="es-AR"/>
        </w:rPr>
        <w:t xml:space="preserve"> (Cámara de Apelaciones en lo Civil y Comercial de Pergamino, </w:t>
      </w:r>
      <w:r>
        <w:rPr>
          <w:sz w:val="22"/>
          <w:lang w:val="es-AR" w:eastAsia="es-AR" w:bidi="es-AR"/>
        </w:rPr>
        <w:t xml:space="preserve">"</w:t>
      </w:r>
      <w:r>
        <w:rPr>
          <w:color w:val="000000"/>
          <w:sz w:val="22"/>
          <w:lang w:val="es-AR" w:eastAsia="es-AR" w:bidi="es-AR"/>
        </w:rPr>
        <w:t xml:space="preserve">MUTUAL DE SOCIOS DEL CLUB SPORTIVO BARRACAS Y UNION FRANCESA C/ ESPINOSA, LORENA SILVINA Y OTRO/A S/ REIVINDICACION</w:t>
      </w:r>
      <w:r>
        <w:rPr>
          <w:sz w:val="22"/>
          <w:lang w:val="es-AR" w:eastAsia="es-AR" w:bidi="es-AR"/>
        </w:rPr>
        <w:t xml:space="preserve">", </w:t>
      </w:r>
      <w:r>
        <w:rPr>
          <w:lang w:val="es-AR" w:eastAsia="es-AR" w:bidi="es-AR"/>
        </w:rPr>
        <w:t xml:space="preserve">autos N° </w:t>
      </w:r>
      <w:r>
        <w:rPr>
          <w:color w:val="000000"/>
          <w:lang w:val="es-AR" w:eastAsia="es-AR" w:bidi="es-AR"/>
        </w:rPr>
        <w:t xml:space="preserve">2056-14</w:t>
      </w:r>
      <w:r>
        <w:rPr>
          <w:lang w:val="es-AR" w:eastAsia="es-AR" w:bidi="es-AR"/>
        </w:rPr>
        <w:t xml:space="preserve">, 10 de Julio de 2014).</w:t>
      </w:r>
    </w:p>
    <w:p>
      <w:pPr>
        <w:pStyle w:val="[Normal]"/>
        <w:spacing w:line="480" w:lineRule="auto"/>
        <w:ind w:firstLine="1134"/>
        <w:jc w:val="both"/>
        <w:rPr>
          <w:lang w:val="es-AR" w:eastAsia="es-AR" w:bidi="es-AR"/>
        </w:rPr>
      </w:pPr>
      <w:r>
        <w:rPr>
          <w:lang w:val="es-AR" w:eastAsia="es-AR" w:bidi="es-AR"/>
        </w:rPr>
        <w:t xml:space="preserve">Atento a lo expuesto, y toda vez que en la resolución atacada el Juez priva de total virtualidad práctica a los aludidos considerandos, lo resuelto por el </w:t>
      </w:r>
      <w:r>
        <w:rPr>
          <w:i/>
          <w:lang w:val="es-AR" w:eastAsia="es-AR" w:bidi="es-AR"/>
        </w:rPr>
        <w:t xml:space="preserve">a quo</w:t>
      </w:r>
      <w:r>
        <w:rPr>
          <w:lang w:val="es-AR" w:eastAsia="es-AR" w:bidi="es-AR"/>
        </w:rPr>
        <w:t xml:space="preserve"> en la resolución de fs. 400 entra en contradicción con el sentido objetivamente determinativo de la expresión </w:t>
      </w:r>
      <w:r>
        <w:rPr>
          <w:i/>
          <w:lang w:val="es-AR" w:eastAsia="es-AR" w:bidi="es-AR"/>
        </w:rPr>
        <w:t xml:space="preserve">"el saldo acreedor de $ 207.000 en favor de las coherederas Teresa y Eugenia Gambino, en razón de la imputación del bien donado a la porción hereditaria que le corresponde a la heredera Alicia Gambino", </w:t>
      </w:r>
      <w:r>
        <w:rPr>
          <w:lang w:val="es-AR" w:eastAsia="es-AR" w:bidi="es-AR"/>
        </w:rPr>
        <w:t xml:space="preserve">y además vulnera la consideración de la sentencia como un todo lógico, inescindible y armónico en el que cada una de sus partes inciden en el sentido y alcance de la decisión judicial.	</w:t>
        <w:br w:type="textWrapping"/>
      </w:r>
      <w:r>
        <w:rPr>
          <w:lang w:val="es-AR" w:eastAsia="es-AR" w:bidi="es-AR"/>
        </w:rPr>
        <w:t xml:space="preserve">	A mayor abundamiento, y a la luz de una interpretación previsora o consecuencialista de las posibles soluciones aplicables al caso, no puedo soslayar que la confirmación de lo decidido por el </w:t>
      </w:r>
      <w:r>
        <w:rPr>
          <w:i/>
          <w:lang w:val="es-AR" w:eastAsia="es-AR" w:bidi="es-AR"/>
        </w:rPr>
        <w:t xml:space="preserve">a quo</w:t>
      </w:r>
      <w:r>
        <w:rPr>
          <w:lang w:val="es-AR" w:eastAsia="es-AR" w:bidi="es-AR"/>
        </w:rPr>
        <w:t xml:space="preserve"> implicaría someter nuevamente a juzgamiento una cuestión que ha integrado el contenido declarativo de la resolución de fs. 344/348 y cuyos extremos ya han sido ponderados en la misma. 	</w:t>
        <w:br w:type="textWrapping"/>
      </w:r>
      <w:r>
        <w:rPr>
          <w:lang w:val="es-AR" w:eastAsia="es-AR" w:bidi="es-AR"/>
        </w:rPr>
        <w:t xml:space="preserve"> 	Al respecto, resulta pertinente señalar que la interpretación consecuencialista es aquella que indica que los jueces no pueden desentenderse de las consecuencias de sus decisiones. Prever las derivaciones que una u otra interpretación pueden tener es el mejor parámetro para decidir cuál es la interpretación justa y razonable “no debe prescindirse - ha dicho la CSJN - de las consecuencias que naturalmente derivan de un fallo, toda vez que constituye uno de los índices más seguros para verificar la razonabilidad de la interpretación y su congruencia con el sistema en que está engarzada" (Fallos: 302:1284; “Saguir y Dib”, Fallos: 303-I-917; 315:158; 312:156; 318:817; 319:2594; 328:3899; 328:690; 259:5913; 330:2361, entre otros, S.C.B.A., C. 118.968 del 15/07/15; C. 117.292 del 1/04/15; A. 69.572 del 30/03/16, esta Sala causas n° 111.378 del 19/07/07, 116.050 del 20/04/17 y 116.733 del 03/04/18, entre otras).</w:t>
      </w:r>
    </w:p>
    <w:p>
      <w:pPr>
        <w:pStyle w:val="[Normal]"/>
        <w:spacing w:line="480" w:lineRule="auto"/>
        <w:ind w:firstLine="1134"/>
        <w:jc w:val="both"/>
        <w:rPr>
          <w:lang w:val="es-AR" w:eastAsia="es-AR" w:bidi="es-AR"/>
        </w:rPr>
      </w:pPr>
      <w:r>
        <w:rPr>
          <w:lang w:val="es-AR" w:eastAsia="es-AR" w:bidi="es-AR"/>
        </w:rPr>
        <w:t xml:space="preserve">Sobre la base de tales parámetros, cabe considerar que el saldo acreedor ya fue determinado judicialmente en la suma de $ 207.000 como consecuencia de la diferencia del valor de los bienes atribuidos a los coherederos en función de su porción hereditaria. De manera que reingresar en el análisis de la misma cuestión en otro proceso judicial, amén de repugnar a los más elementales principios de economía procesal (art. 34 5.e. del CPCCBA), violaría potencialmente la cosa juzgada en cuanto autoridad y eficacia de una sentencia cuando no proceden contra ella medios de impugnación que permitan invalidarla total o parcialmente (art. 163 del CPCCBA).	 </w:t>
        <w:br w:type="textWrapping"/>
      </w:r>
      <w:r>
        <w:rPr>
          <w:lang w:val="es-AR" w:eastAsia="es-AR" w:bidi="es-AR"/>
        </w:rPr>
        <w:t xml:space="preserve"> 	</w:t>
      </w:r>
      <w:r>
        <w:rPr>
          <w:color w:val="000000"/>
          <w:lang w:val="es-AR" w:eastAsia="es-AR" w:bidi="es-AR"/>
        </w:rPr>
        <w:t xml:space="preserve">Cabe recordar que esta Cámara ha resuelto que </w:t>
      </w:r>
      <w:r>
        <w:rPr>
          <w:i/>
          <w:color w:val="000000"/>
          <w:lang w:val="es-AR" w:eastAsia="es-AR" w:bidi="es-AR"/>
        </w:rPr>
        <w:t xml:space="preserve">"...Frente a la impronta de orden público y jerarquía constitucional que exhibe la cosa juzgada surgente de la sentencia firme, la liquidación a concretar debe atenerse a las precisas pautas señaladas en la misma, pues la fase ejecutoria ha de estar</w:t>
      </w:r>
      <w:r>
        <w:rPr>
          <w:color w:val="000000"/>
          <w:lang w:val="es-AR" w:eastAsia="es-AR" w:bidi="es-AR"/>
        </w:rPr>
        <w:t xml:space="preserve"> </w:t>
      </w:r>
      <w:r>
        <w:rPr>
          <w:i/>
          <w:color w:val="000000"/>
          <w:lang w:val="es-AR" w:eastAsia="es-AR" w:bidi="es-AR"/>
        </w:rPr>
        <w:t xml:space="preserve">delimitada por el alcance de la sentencia que dinamiza y, a su vez, legitima la determinación de la suma líquida a oblar, la que surgirá del estricto seguimiento de los parámetros establecidos en la resolución que mandó llevar adelante la ejecución..." (Cámara de Apelaciones en lo civil y Comercial de Pergamino, </w:t>
      </w:r>
      <w:r>
        <w:rPr>
          <w:lang w:val="es-AR" w:eastAsia="es-AR" w:bidi="es-AR"/>
        </w:rPr>
        <w:t xml:space="preserve">Expte. N° </w:t>
      </w:r>
      <w:r>
        <w:rPr>
          <w:color w:val="000000"/>
          <w:lang w:val="es-AR" w:eastAsia="es-AR" w:bidi="es-AR"/>
        </w:rPr>
        <w:t xml:space="preserve">2081-14</w:t>
      </w:r>
      <w:r>
        <w:rPr>
          <w:lang w:val="es-AR" w:eastAsia="es-AR" w:bidi="es-AR"/>
        </w:rPr>
        <w:t xml:space="preserve">  - </w:t>
      </w:r>
      <w:r>
        <w:rPr>
          <w:color w:val="000000"/>
          <w:lang w:val="es-AR" w:eastAsia="es-AR" w:bidi="es-AR"/>
        </w:rPr>
        <w:t xml:space="preserve">MUTUAL CIRCULO ITALIANO C/ BILOS, WALTER MATEO S/ COBRO EJECUTIVO</w:t>
      </w:r>
      <w:r>
        <w:rPr>
          <w:lang w:val="es-AR" w:eastAsia="es-AR" w:bidi="es-AR"/>
        </w:rPr>
        <w:t xml:space="preserve"> ,autos n° 2056, 10 de Julio de 2014). </w:t>
      </w:r>
    </w:p>
    <w:p>
      <w:pPr>
        <w:pStyle w:val="[Normal]"/>
        <w:spacing w:line="480" w:lineRule="auto"/>
        <w:ind w:firstLine="1134"/>
        <w:jc w:val="both"/>
        <w:rPr>
          <w:lang w:val="es-AR" w:eastAsia="es-AR" w:bidi="es-AR"/>
        </w:rPr>
      </w:pPr>
      <w:r>
        <w:rPr>
          <w:lang w:val="es-AR" w:eastAsia="es-AR" w:bidi="es-AR"/>
        </w:rPr>
        <w:t xml:space="preserve">Sin perjuicio de todo lo expresado, y a fin de prevenir futuras dilaciones en el procedimiento en consonancia con el principio de preventivo en materia procesal (art. 34 inc. 5 b, d, e), he de precisar que, toda vez que la acción de colación tiene carácter declarativo, y a fin de resguardar el derecho de defensa de la contraparte, la parte apelante deberá impetrar el correspondiente incidente de ejecución dentro del proceso sucesorio a los fines de ejecutar el saldo acreedor judicialmente reconocido en la resolución de fs. 384/388.	</w:t>
        <w:br w:type="textWrapping"/>
      </w:r>
      <w:r>
        <w:rPr>
          <w:lang w:val="es-AR" w:eastAsia="es-AR" w:bidi="es-AR"/>
        </w:rPr>
        <w:t xml:space="preserve"> 	Respecto a la solicitud de no publicación de la presente en lista de despacho y MEV, cabe referir que dado que la presente resolución no introduce innovaciones a lo decidido en la resolución de fs. 384/388 -la que fuere oportunamente publicada- sino que se limita meramente a esclarecer su sentido y alcance dentro de los límites de los agravios vertidos, no advierto que su publicación </w:t>
      </w:r>
      <w:r>
        <w:rPr>
          <w:i/>
          <w:lang w:val="es-AR" w:eastAsia="es-AR" w:bidi="es-AR"/>
        </w:rPr>
        <w:t xml:space="preserve">"torne abstracta la acreencia que se pretende garantizar"</w:t>
      </w:r>
      <w:r>
        <w:rPr>
          <w:lang w:val="es-AR" w:eastAsia="es-AR" w:bidi="es-AR"/>
        </w:rPr>
        <w:t xml:space="preserve">. Por tal razón, no corresponde hacer lugar a lo solicitado.	</w:t>
        <w:br w:type="textWrapping"/>
      </w:r>
      <w:r>
        <w:rPr>
          <w:lang w:val="es-AR" w:eastAsia="es-AR" w:bidi="es-AR"/>
        </w:rPr>
        <w:t xml:space="preserve"> 	Por  las razones dadas, citas legales de referencia y con el alcance indicado,</w:t>
      </w:r>
    </w:p>
    <w:p>
      <w:pPr>
        <w:pStyle w:val="[Normal]"/>
        <w:spacing w:line="480" w:lineRule="auto"/>
        <w:ind w:firstLine="1134"/>
        <w:jc w:val="both"/>
        <w:rPr>
          <w:lang w:val="es-AR" w:eastAsia="es-AR" w:bidi="es-AR"/>
        </w:rPr>
      </w:pPr>
      <w:r>
        <w:rPr>
          <w:b/>
          <w:lang w:val="es-AR" w:eastAsia="es-AR" w:bidi="es-AR"/>
        </w:rPr>
        <w:t xml:space="preserve">VOTO POR LA NEGATIVA</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Hacer lugar al recurso de apelación deducido por la parte actora, revocando la resolución de primera instancia.</w:t>
      </w:r>
    </w:p>
    <w:p>
      <w:pPr>
        <w:pStyle w:val="[Normal]"/>
        <w:spacing w:line="48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b/>
          <w:lang w:val="es-AR" w:eastAsia="es-AR" w:bidi="es-AR"/>
        </w:rPr>
        <w:t xml:space="preserve">S E N T E N C I A:</w:t>
      </w:r>
    </w:p>
    <w:p>
      <w:pPr>
        <w:pStyle w:val="[Normal]"/>
        <w:spacing w:line="480" w:lineRule="auto"/>
        <w:ind w:firstLine="1134"/>
        <w:jc w:val="both"/>
        <w:rPr>
          <w:lang w:val="es-AR" w:eastAsia="es-AR" w:bidi="es-AR"/>
        </w:rPr>
      </w:pPr>
      <w:r>
        <w:rPr>
          <w:lang w:val="es-AR" w:eastAsia="es-AR" w:bidi="es-AR"/>
        </w:rPr>
        <w:t xml:space="preserve">Hacer lugar al recurso de apelación deducido por la parte actora, revocando la resolución de primera instancia.</w:t>
      </w:r>
    </w:p>
    <w:p>
      <w:pPr>
        <w:pStyle w:val="[Normal]"/>
        <w:spacing w:line="480" w:lineRule="auto"/>
        <w:ind w:firstLine="1134"/>
        <w:jc w:val="both"/>
        <w:rPr>
          <w:lang w:val="es-AR" w:eastAsia="es-AR" w:bidi="es-AR"/>
        </w:rPr>
      </w:pPr>
      <w:r>
        <w:rPr>
          <w:lang w:val="es-AR" w:eastAsia="es-AR" w:bidi="es-AR"/>
        </w:rPr>
        <w:t xml:space="preserve">Regístrese. Notifíquese. Devuélvase.-</w:t>
      </w:r>
    </w:p>
    <w:p>
      <w:pPr>
        <w:pStyle w:val="[Normal]"/>
        <w:spacing w:line="480" w:lineRule="auto"/>
        <w:ind w:firstLine="1134"/>
        <w:jc w:val="both"/>
        <w:rPr>
          <w:lang w:val="es-AR" w:eastAsia="es-AR" w:bidi="es-AR"/>
        </w:rPr>
      </w:pPr>
    </w:p>
    <w:p>
      <w:pPr>
        <w:pStyle w:val="[Normal]"/>
        <w:ind w:firstLine="1134"/>
        <w:jc w:val="center"/>
        <w:rPr>
          <w:sz w:val="16"/>
          <w:lang w:val="es-AR" w:eastAsia="es-AR" w:bidi="es-AR"/>
        </w:rPr>
      </w:pPr>
      <w:r>
        <w:rPr>
          <w:sz w:val="16"/>
          <w:lang w:val="es-AR" w:eastAsia="es-AR" w:bidi="es-AR"/>
        </w:rPr>
        <w:t xml:space="preserve">Roberto DEGLEUE</w:t>
      </w:r>
    </w:p>
    <w:p>
      <w:pPr>
        <w:pStyle w:val="[Normal]"/>
        <w:ind w:firstLine="1134"/>
        <w:jc w:val="center"/>
        <w:rPr>
          <w:sz w:val="16"/>
          <w:lang w:val="es-AR" w:eastAsia="es-AR" w:bidi="es-AR"/>
        </w:rPr>
      </w:pPr>
      <w:r>
        <w:rPr>
          <w:sz w:val="16"/>
          <w:lang w:val="es-AR" w:eastAsia="es-AR" w:bidi="es-AR"/>
        </w:rPr>
        <w:t xml:space="preserve">Presidente Excma. Cámara de</w:t>
      </w:r>
    </w:p>
    <w:p>
      <w:pPr>
        <w:pStyle w:val="[Normal]"/>
        <w:ind w:firstLine="1134"/>
        <w:jc w:val="center"/>
        <w:rPr>
          <w:sz w:val="16"/>
          <w:lang w:val="es-AR" w:eastAsia="es-AR" w:bidi="es-AR"/>
        </w:rPr>
      </w:pPr>
      <w:r>
        <w:rPr>
          <w:sz w:val="16"/>
          <w:lang w:val="es-AR" w:eastAsia="es-AR" w:bidi="es-AR"/>
        </w:rPr>
        <w:t xml:space="preserve">Apelación en lo Civil y Comercial </w:t>
      </w:r>
    </w:p>
    <w:p>
      <w:pPr>
        <w:pStyle w:val="[Normal]"/>
        <w:ind w:firstLine="1134"/>
        <w:jc w:val="center"/>
        <w:rPr>
          <w:sz w:val="16"/>
          <w:lang w:val="es-AR" w:eastAsia="es-AR" w:bidi="es-AR"/>
        </w:rPr>
      </w:pPr>
      <w:r>
        <w:rPr>
          <w:sz w:val="16"/>
          <w:lang w:val="es-AR" w:eastAsia="es-AR" w:bidi="es-AR"/>
        </w:rPr>
        <w:t xml:space="preserve">Dpto. Judicial Pergamino</w:t>
      </w:r>
    </w:p>
    <w:p>
      <w:pPr>
        <w:pStyle w:val="[Normal]"/>
        <w:ind w:firstLine="1134"/>
        <w:jc w:val="center"/>
        <w:rPr>
          <w:sz w:val="16"/>
          <w:lang w:val="es-AR" w:eastAsia="es-AR" w:bidi="es-AR"/>
        </w:rPr>
      </w:pPr>
    </w:p>
    <w:p>
      <w:pPr>
        <w:pStyle w:val="[Normal]"/>
        <w:ind w:firstLine="1134"/>
        <w:rPr>
          <w:sz w:val="16"/>
          <w:lang w:val="es-AR" w:eastAsia="es-AR" w:bidi="es-AR"/>
        </w:rPr>
      </w:pPr>
    </w:p>
    <w:p>
      <w:pPr>
        <w:pStyle w:val="[Normal]"/>
        <w:ind w:firstLine="1134"/>
        <w:rPr>
          <w:sz w:val="16"/>
          <w:lang w:val="es-AR" w:eastAsia="es-AR" w:bidi="es-AR"/>
        </w:rPr>
      </w:pPr>
    </w:p>
    <w:p>
      <w:pPr>
        <w:pStyle w:val="[Normal]"/>
        <w:ind w:firstLine="1134"/>
        <w:rPr>
          <w:sz w:val="16"/>
          <w:lang w:val="es-AR" w:eastAsia="es-AR" w:bidi="es-AR"/>
        </w:rPr>
      </w:pPr>
    </w:p>
    <w:p>
      <w:pPr>
        <w:pStyle w:val="[Normal]"/>
        <w:ind w:firstLine="1134"/>
        <w:rPr>
          <w:sz w:val="16"/>
          <w:lang w:val="es-AR" w:eastAsia="es-AR" w:bidi="es-AR"/>
        </w:rPr>
      </w:pPr>
    </w:p>
    <w:p>
      <w:pPr>
        <w:pStyle w:val="[Normal]"/>
        <w:ind w:firstLine="1134"/>
        <w:rPr>
          <w:sz w:val="16"/>
          <w:lang w:val="es-AR" w:eastAsia="es-AR" w:bidi="es-AR"/>
        </w:rPr>
      </w:pPr>
      <w:r>
        <w:rPr>
          <w:sz w:val="16"/>
          <w:lang w:val="es-AR" w:eastAsia="es-AR" w:bidi="es-AR"/>
        </w:rPr>
        <w:t xml:space="preserve">Graciela SCARAFFIA </w:t>
      </w:r>
    </w:p>
    <w:p>
      <w:pPr>
        <w:pStyle w:val="[Normal]"/>
        <w:ind w:firstLine="1134"/>
        <w:rPr>
          <w:sz w:val="16"/>
          <w:lang w:val="es-AR" w:eastAsia="es-AR" w:bidi="es-AR"/>
        </w:rPr>
      </w:pPr>
      <w:r>
        <w:rPr>
          <w:sz w:val="16"/>
          <w:lang w:val="es-AR" w:eastAsia="es-AR" w:bidi="es-AR"/>
        </w:rPr>
        <w:t xml:space="preserve">             Jueza </w:t>
      </w:r>
    </w:p>
    <w:p>
      <w:pPr>
        <w:pStyle w:val="[Normal]"/>
        <w:ind w:firstLine="1134"/>
        <w:rPr>
          <w:sz w:val="16"/>
          <w:lang w:val="es-AR" w:eastAsia="es-AR" w:bidi="es-AR"/>
        </w:rPr>
      </w:pPr>
    </w:p>
    <w:p>
      <w:pPr>
        <w:pStyle w:val="[Normal]"/>
        <w:ind w:firstLine="1134"/>
        <w:rPr>
          <w:sz w:val="16"/>
          <w:lang w:val="es-AR" w:eastAsia="es-AR" w:bidi="es-AR"/>
        </w:rPr>
      </w:pPr>
    </w:p>
    <w:p>
      <w:pPr>
        <w:pStyle w:val="[Normal]"/>
        <w:ind w:firstLine="1134"/>
        <w:rPr>
          <w:sz w:val="16"/>
          <w:lang w:val="es-AR" w:eastAsia="es-AR" w:bidi="es-AR"/>
        </w:rPr>
      </w:pPr>
    </w:p>
    <w:p>
      <w:pPr>
        <w:pStyle w:val="[Normal]"/>
        <w:ind w:firstLine="1134"/>
        <w:jc w:val="center"/>
        <w:rPr>
          <w:sz w:val="16"/>
          <w:lang w:val="es-AR" w:eastAsia="es-AR" w:bidi="es-AR"/>
        </w:rPr>
      </w:pPr>
    </w:p>
    <w:p>
      <w:pPr>
        <w:pStyle w:val="[Normal]"/>
        <w:ind w:firstLine="1134"/>
        <w:jc w:val="center"/>
        <w:rPr>
          <w:sz w:val="16"/>
          <w:lang w:val="es-AR" w:eastAsia="es-AR" w:bidi="es-AR"/>
        </w:rPr>
      </w:pPr>
      <w:r>
        <w:rPr>
          <w:sz w:val="16"/>
          <w:lang w:val="es-AR" w:eastAsia="es-AR" w:bidi="es-AR"/>
        </w:rPr>
        <w:t xml:space="preserve">Adrian Oscar MOREA</w:t>
      </w:r>
    </w:p>
    <w:p>
      <w:pPr>
        <w:pStyle w:val="[Normal]"/>
        <w:rPr>
          <w:sz w:val="16"/>
          <w:lang w:val="es-AR" w:eastAsia="es-AR" w:bidi="es-AR"/>
        </w:rPr>
      </w:pPr>
      <w:r>
        <w:rPr>
          <w:sz w:val="16"/>
          <w:lang w:val="es-AR" w:eastAsia="es-AR" w:bidi="es-AR"/>
        </w:rPr>
        <w:t xml:space="preserve">Auxiliar Letrado</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