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jpg" ContentType="image/jpeg"/>
  <Default Extension="bmp" ContentType="image/x-bmp"/>
  <Default Extension="gif" ContentType="image/gif"/>
  <Default Extension="png" ContentType="image/png"/>
  <Default Extension="tiff" ContentType="image/tiff"/>
  <Default Extension="tif" ContentType="image/tiff"/>
  <Default Extension="wmf" ContentType="image/x-wmf"/>
  <Default Extension="emf" ContentType="image/x-emf"/>
  <Default Extension="bin" ContentType="application/vnd.openxmlformats-officedocument.oleObject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 standalone="yes"?><Relationships xmlns="http://schemas.openxmlformats.org/package/2006/relationships">
	<Relationship Id="rId00001" Type="http://schemas.openxmlformats.org/officeDocument/2006/relationships/officeDocument" Target="word/document.xml"/>
	<Relationship Id="rId00002" Type="http://schemas.openxmlformats.org/package/2006/relationships/metadata/core-properties" Target="docProps/core.xml"/>
	<Relationship Id="rId00003" Type="http://schemas.openxmlformats.org/officeDocument/2006/relationships/extended-properties" Target="docProps/app.xml"/>
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 xmlns:mc="http://schemas.openxmlformats.org/markup-compatibility/2006" xmlns:w14="http://schemas.microsoft.com/office/word/2010/wordml" xmlns:w15="http://schemas.microsoft.com/office/word/2012/wordml" xmlns:tx19="http://schemas.textcontrol.com/tx/1900" mc:Ignorable="w14 w15 tx19">
  <w:body>
    <w:p>
      <w:pPr>
        <w:pStyle w:val="[Normal]"/>
        <w:spacing w:line="360" w:lineRule="auto"/>
        <w:rPr>
          <w:sz w:val="20"/>
          <w:lang w:val="es-AR" w:eastAsia="es-AR" w:bidi="es-AR"/>
        </w:rPr>
      </w:pPr>
      <w:r>
        <w:rPr>
          <w:sz w:val="20"/>
          <w:lang w:val="es-AR" w:eastAsia="es-AR" w:bidi="es-AR"/>
        </w:rPr>
        <w:t xml:space="preserve">      </w:t>
      </w:r>
    </w:p>
    <w:p>
      <w:pPr>
        <w:pStyle w:val="[Normal]"/>
        <w:spacing w:line="360" w:lineRule="auto"/>
        <w:rPr>
          <w:lang w:val="es-AR" w:eastAsia="es-AR" w:bidi="es-AR"/>
        </w:rPr>
      </w:pPr>
      <w:r>
        <w:rPr>
          <w:sz w:val="20"/>
          <w:lang w:val="es-AR" w:eastAsia="es-AR" w:bidi="es-AR"/>
        </w:rPr>
        <w:t xml:space="preserve">                   </w:t>
      </w:r>
      <w:r>
        <w:rPr>
          <w:b/>
          <w:lang w:val="es-AR" w:eastAsia="es-AR" w:bidi="es-AR"/>
        </w:rPr>
        <w:t xml:space="preserve">Registro N° ...47..../</w:t>
      </w:r>
      <w:r>
        <w:rPr>
          <w:b/>
          <w:color w:val="000000"/>
          <w:lang w:val="es-AR" w:eastAsia="es-AR" w:bidi="es-AR"/>
        </w:rPr>
        <w:t xml:space="preserve">2017</w:t>
      </w:r>
      <w:r>
        <w:rPr>
          <w:color w:val="000000"/>
          <w:lang w:val="es-AR" w:eastAsia="es-AR" w:bidi="es-AR"/>
        </w:rPr>
        <w:t xml:space="preserve"> </w:t>
      </w:r>
    </w:p>
    <w:p>
      <w:pPr>
        <w:pStyle w:val="[Normal]"/>
        <w:spacing w:line="360" w:lineRule="auto"/>
        <w:jc w:val="both"/>
        <w:rPr>
          <w:lang w:val="es-AR" w:eastAsia="es-AR" w:bidi="es-AR"/>
        </w:rPr>
      </w:pPr>
      <w:r>
        <w:rPr>
          <w:b/>
          <w:lang w:val="es-AR" w:eastAsia="es-AR" w:bidi="es-AR"/>
        </w:rPr>
        <w:t xml:space="preserve">	Fojas.....297/298......</w:t>
      </w:r>
      <w:r>
        <w:rPr>
          <w:lang w:val="es-AR" w:eastAsia="es-AR" w:bidi="es-AR"/>
        </w:rPr>
        <w:t xml:space="preserve">             </w:t>
      </w:r>
    </w:p>
    <w:p>
      <w:pPr>
        <w:pStyle w:val="[Normal]"/>
        <w:spacing w:line="360" w:lineRule="auto"/>
        <w:jc w:val="both"/>
        <w:rPr>
          <w:lang w:val="es-AR" w:eastAsia="es-AR" w:bidi="es-AR"/>
        </w:rPr>
      </w:pP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En la ciudad de Pergamino, el 16 de abril  de 2019, reunidos en Acuerdo Ordinario los Sres. Jueces de la Excma. Cámara de Apelación en lo Civil y Comercial del Departamento Judicial Pergamino, para dictar sentencia aclaratoria en los autos N° </w:t>
      </w:r>
      <w:r>
        <w:rPr>
          <w:b/>
          <w:color w:val="000000"/>
          <w:lang w:val="es-AR" w:eastAsia="es-AR" w:bidi="es-AR"/>
        </w:rPr>
        <w:t xml:space="preserve">3463-18</w:t>
      </w:r>
      <w:r>
        <w:rPr>
          <w:lang w:val="es-AR" w:eastAsia="es-AR" w:bidi="es-AR"/>
        </w:rPr>
        <w:t xml:space="preserve">  caratulados </w:t>
      </w:r>
      <w:r>
        <w:rPr>
          <w:b/>
          <w:lang w:val="es-AR" w:eastAsia="es-AR" w:bidi="es-AR"/>
        </w:rPr>
        <w:t xml:space="preserve">"</w:t>
      </w:r>
      <w:r>
        <w:rPr>
          <w:b/>
          <w:color w:val="000000"/>
          <w:lang w:val="es-AR" w:eastAsia="es-AR" w:bidi="es-AR"/>
        </w:rPr>
        <w:t xml:space="preserve">VENESIO LETICIA ALEJANDRA  C/ MORAN RICARDO HORACIO S/ MATERIA DE OTRO FUERO</w:t>
      </w:r>
      <w:r>
        <w:rPr>
          <w:b/>
          <w:lang w:val="es-AR" w:eastAsia="es-AR" w:bidi="es-AR"/>
        </w:rPr>
        <w:t xml:space="preserve">" </w:t>
      </w:r>
      <w:r>
        <w:rPr>
          <w:lang w:val="es-AR" w:eastAsia="es-AR" w:bidi="es-AR"/>
        </w:rPr>
        <w:t xml:space="preserve">, Expte. </w:t>
      </w:r>
      <w:r>
        <w:rPr>
          <w:color w:val="000000"/>
          <w:lang w:val="es-AR" w:eastAsia="es-AR" w:bidi="es-AR"/>
        </w:rPr>
        <w:t xml:space="preserve">55.466 </w:t>
      </w:r>
      <w:r>
        <w:rPr>
          <w:lang w:val="es-AR" w:eastAsia="es-AR" w:bidi="es-AR"/>
        </w:rPr>
        <w:t xml:space="preserve">del </w:t>
      </w:r>
      <w:r>
        <w:rPr>
          <w:color w:val="000000"/>
          <w:lang w:val="es-AR" w:eastAsia="es-AR" w:bidi="es-AR"/>
        </w:rPr>
        <w:t xml:space="preserve">JUZGADO EN LO CIVIL Y COMERCIAL Nº 1 - PERGAMINO</w:t>
      </w:r>
      <w:r>
        <w:rPr>
          <w:lang w:val="es-AR" w:eastAsia="es-AR" w:bidi="es-AR"/>
        </w:rPr>
        <w:t xml:space="preserve">  se practicó el sorteo de ley que determinó que la votación debía efectuarse en el siguiente orden: Roberto Manuel Degleue y Graciela Scaraffía</w:t>
      </w:r>
      <w:r>
        <w:rPr>
          <w:color w:val="000000"/>
          <w:lang w:val="es-AR" w:eastAsia="es-AR" w:bidi="es-AR"/>
        </w:rPr>
        <w:t xml:space="preserve"> y estu</w:t>
      </w:r>
      <w:r>
        <w:rPr>
          <w:lang w:val="es-AR" w:eastAsia="es-AR" w:bidi="es-AR"/>
        </w:rPr>
        <w:t xml:space="preserve">diados los autos se resolvió plantear y votar las siguientes: 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b/>
          <w:u w:val="single"/>
          <w:lang w:val="es-AR" w:eastAsia="es-AR" w:bidi="es-AR"/>
        </w:rPr>
        <w:t xml:space="preserve">C U E S T I O N E S: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I) ¿Debe aclararse la sentencia de autos?.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II) ¿Qué pronunciamiento  corresponde dictar?.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A la </w:t>
      </w:r>
      <w:r>
        <w:rPr>
          <w:b/>
          <w:lang w:val="es-AR" w:eastAsia="es-AR" w:bidi="es-AR"/>
        </w:rPr>
        <w:t xml:space="preserve">PRIMERA CUESTION</w:t>
      </w:r>
      <w:r>
        <w:rPr>
          <w:lang w:val="es-AR" w:eastAsia="es-AR" w:bidi="es-AR"/>
        </w:rPr>
        <w:t xml:space="preserve"> el Sr. Juez Roberto Degleue dijo: 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La recurrente -mediante la presentación electrónica de fecha 12 de abril de 2019 (escrito formato papel de fs. 972)-  requiere aclaratoria de lo dispuesto en la sentencia de fs. 949/971 vta. en relación a la parte resolutoria. En tal sentido, denuncia la existencia de un error material en: 1) la consignación del número del inmueble en el que habita la recurrente y que fuera sede del hogar conyugal toda vez que la sentencia de fecha 4 de Abril del corriente lo sitúa en la calle Monteagudo n° 1045 cuando éste se halla en la calle Monteagudo 1015, 2) la identificación del inmueble de calle Monteagudo con la matrícula n° 32174 cuando la matrícula que lo individualiza es la n° 33.915. Finalmente, solicita la especificación de los datos catastrales correspondiente a sendos inmuebles.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Entrando a resolver el pedido de aclaratoria, y compulsados nuevamente los datos de identificación de los inmuebles de referencia con las constancias obrantes en la causa (informes de dominio de fs. 462/467 y de fs. 468/469 -expte. N°  41.303-), advierto que se ha incurrido en un error material involuntario en punto a su correcta individualización, por lo que corresponde hacer lugar al pedido de aclaratoria con la especificación aditiva solicitada en el último párrafo del escrito de referencia.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En virtud de lo expuesto, corresponde aclarar que el punto 3 la parte resolutiva del fallo debe leerse de la siguiente forma: </w:t>
      </w:r>
      <w:r>
        <w:rPr>
          <w:i/>
          <w:lang w:val="es-AR" w:eastAsia="es-AR" w:bidi="es-AR"/>
        </w:rPr>
        <w:t xml:space="preserve">"</w:t>
      </w:r>
      <w:r>
        <w:rPr>
          <w:i/>
          <w:color w:val="000000"/>
          <w:lang w:val="es-AR" w:eastAsia="es-AR" w:bidi="es-AR"/>
        </w:rPr>
        <w:t xml:space="preserve">3) Hasta tanto se haga efectivo lo ordenado, reconocer el derecho de la actora a continuar habitando el inmueble ubicado en calle Monteagudo n° 1015"</w:t>
      </w:r>
      <w:r>
        <w:rPr>
          <w:color w:val="000000"/>
          <w:lang w:val="es-AR" w:eastAsia="es-AR" w:bidi="es-AR"/>
        </w:rPr>
        <w:t xml:space="preserve">.  Y el punto 4) debe reformarse en los siguientes términos: </w:t>
      </w:r>
      <w:r>
        <w:rPr>
          <w:i/>
          <w:color w:val="000000"/>
          <w:lang w:val="es-AR" w:eastAsia="es-AR" w:bidi="es-AR"/>
        </w:rPr>
        <w:t xml:space="preserve">"4) Ordenar la anotación de la presente litis en los asientos registrales pertenecientes a los inmuebles: 1) n° 082-10897,</w:t>
      </w:r>
      <w:r>
        <w:rPr>
          <w:i/>
          <w:lang w:val="es-AR" w:eastAsia="es-AR" w:bidi="es-AR"/>
        </w:rPr>
        <w:t xml:space="preserve"> Circ. I, Sec. C., Mza. 125, Parc. 13; </w:t>
      </w:r>
      <w:r>
        <w:rPr>
          <w:i/>
          <w:color w:val="000000"/>
          <w:lang w:val="es-AR" w:eastAsia="es-AR" w:bidi="es-AR"/>
        </w:rPr>
        <w:t xml:space="preserve">2) n° 082-33915, </w:t>
      </w:r>
      <w:r>
        <w:rPr>
          <w:i/>
          <w:lang w:val="es-AR" w:eastAsia="es-AR" w:bidi="es-AR"/>
        </w:rPr>
        <w:t xml:space="preserve">Circ. I, Sec. C, Mza. 125 6D. </w:t>
      </w:r>
      <w:r>
        <w:rPr>
          <w:i/>
          <w:color w:val="000000"/>
          <w:lang w:val="es-AR" w:eastAsia="es-AR" w:bidi="es-AR"/>
        </w:rPr>
        <w:t xml:space="preserve">A tal efecto, líbrense los oficios de estilo pertinentes al Registro de la Propiedad Inmueble correspondiente"</w:t>
      </w:r>
      <w:r>
        <w:rPr>
          <w:color w:val="000000"/>
          <w:lang w:val="es-AR" w:eastAsia="es-AR" w:bidi="es-AR"/>
        </w:rPr>
        <w:t xml:space="preserve">. 		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Por lo expuesto voto por la </w:t>
      </w:r>
      <w:r>
        <w:rPr>
          <w:b/>
          <w:lang w:val="es-AR" w:eastAsia="es-AR" w:bidi="es-AR"/>
        </w:rPr>
        <w:t xml:space="preserve">AFIRMATIVA</w:t>
      </w:r>
      <w:r>
        <w:rPr>
          <w:lang w:val="es-AR" w:eastAsia="es-AR" w:bidi="es-AR"/>
        </w:rPr>
        <w:t xml:space="preserve">.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A la misma cuestión la señora Jueza Graciela Scaraffía por análogos fundamentos  votó en igual sentido.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A la segunda cuestión el Sr. Juez Roberto Manuel Degleue dijo: de conformidad al resultado habido al tratarse la anterior cuestión, estimo que el pronunciamiento que corresponde dictar es: 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Hacer lugar al recurso de aclaratoria deducido. Y en su mérito aclarar la sentencia de fs. 949/971 vta. con los alcances indicados (doct. arts. 166 inc. 2 y 267 in fine C.P.C.C.). 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Es mi voto.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A la misma cuestión la señora Jueza, Graciela Scaraffía por análogos fundamentos votó en igual sentido.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Con lo que terminó el presente Acuerdo, dictándose la siguiente;</w:t>
      </w:r>
    </w:p>
    <w:p>
      <w:pPr>
        <w:pStyle w:val="[Normal]"/>
        <w:spacing w:line="480" w:lineRule="auto"/>
        <w:ind w:firstLine="1134"/>
        <w:jc w:val="both"/>
        <w:rPr>
          <w:b/>
          <w:u w:val="single"/>
          <w:lang w:val="es-AR" w:eastAsia="es-AR" w:bidi="es-AR"/>
        </w:rPr>
      </w:pPr>
      <w:r>
        <w:rPr>
          <w:b/>
          <w:u w:val="single"/>
          <w:lang w:val="es-AR" w:eastAsia="es-AR" w:bidi="es-AR"/>
        </w:rPr>
        <w:t xml:space="preserve">S E N T E N C I A: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Hacer lugar al recurso de aclaratoria deducido. Y en su mérito aclarar la sentencia de fs. 949/971 vta. con los alcances indicados (doct. arts. 166 inc. 2 y 267 in fine C.P.C.C.). 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Regístrese. Notifíquese. Devuélvase.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</w:p>
    <w:p>
      <w:pPr>
        <w:pStyle w:val="[Normal]"/>
        <w:ind w:firstLine="1134"/>
        <w:jc w:val="both"/>
        <w:rPr>
          <w:rFonts w:ascii="Calibri" w:hAnsi="Calibri" w:eastAsia="Calibri" w:cs="Calibri"/>
          <w:sz w:val="22"/>
          <w:lang w:val="es-AR" w:eastAsia="es-AR" w:bidi="es-AR"/>
        </w:rPr>
      </w:pPr>
      <w:r>
        <w:rPr>
          <w:rFonts w:ascii="Calibri" w:hAnsi="Calibri" w:eastAsia="Calibri" w:cs="Calibri"/>
          <w:sz w:val="22"/>
          <w:lang w:val="es-AR" w:eastAsia="es-AR" w:bidi="es-AR"/>
        </w:rPr>
        <w:t xml:space="preserve">                                                                                    Roberto Manuel DEGLEUE</w:t>
      </w:r>
    </w:p>
    <w:p>
      <w:pPr>
        <w:pStyle w:val="[Normal]"/>
        <w:ind w:firstLine="1134"/>
        <w:jc w:val="both"/>
        <w:rPr>
          <w:rFonts w:ascii="Calibri" w:hAnsi="Calibri" w:eastAsia="Calibri" w:cs="Calibri"/>
          <w:sz w:val="22"/>
          <w:lang w:val="es-AR" w:eastAsia="es-AR" w:bidi="es-AR"/>
        </w:rPr>
      </w:pPr>
      <w:r>
        <w:rPr>
          <w:rFonts w:ascii="Calibri" w:hAnsi="Calibri" w:eastAsia="Calibri" w:cs="Calibri"/>
          <w:sz w:val="22"/>
          <w:lang w:val="es-AR" w:eastAsia="es-AR" w:bidi="es-AR"/>
        </w:rPr>
        <w:t xml:space="preserve">                                                                                 Presidente Excma. Cámara de</w:t>
      </w:r>
    </w:p>
    <w:p>
      <w:pPr>
        <w:pStyle w:val="[Normal]"/>
        <w:ind w:firstLine="1134"/>
        <w:jc w:val="both"/>
        <w:rPr>
          <w:rFonts w:ascii="Calibri" w:hAnsi="Calibri" w:eastAsia="Calibri" w:cs="Calibri"/>
          <w:sz w:val="22"/>
          <w:lang w:val="es-AR" w:eastAsia="es-AR" w:bidi="es-AR"/>
        </w:rPr>
      </w:pPr>
      <w:r>
        <w:rPr>
          <w:rFonts w:ascii="Calibri" w:hAnsi="Calibri" w:eastAsia="Calibri" w:cs="Calibri"/>
          <w:sz w:val="22"/>
          <w:lang w:val="es-AR" w:eastAsia="es-AR" w:bidi="es-AR"/>
        </w:rPr>
        <w:t xml:space="preserve">                                                                               Apelación en lo Civil y Comercial </w:t>
      </w:r>
    </w:p>
    <w:p>
      <w:pPr>
        <w:pStyle w:val="[Normal]"/>
        <w:ind w:firstLine="1134"/>
        <w:jc w:val="both"/>
        <w:rPr>
          <w:rFonts w:ascii="Calibri" w:hAnsi="Calibri" w:eastAsia="Calibri" w:cs="Calibri"/>
          <w:sz w:val="22"/>
          <w:lang w:val="es-AR" w:eastAsia="es-AR" w:bidi="es-AR"/>
        </w:rPr>
      </w:pPr>
      <w:r>
        <w:rPr>
          <w:rFonts w:ascii="Calibri" w:hAnsi="Calibri" w:eastAsia="Calibri" w:cs="Calibri"/>
          <w:sz w:val="22"/>
          <w:lang w:val="es-AR" w:eastAsia="es-AR" w:bidi="es-AR"/>
        </w:rPr>
        <w:t xml:space="preserve">                                                                                      Dpto. Judicial Pergamino</w:t>
      </w:r>
    </w:p>
    <w:p>
      <w:pPr>
        <w:pStyle w:val="[Normal]"/>
        <w:ind w:firstLine="1134"/>
        <w:jc w:val="both"/>
        <w:rPr>
          <w:rFonts w:ascii="Calibri" w:hAnsi="Calibri" w:eastAsia="Calibri" w:cs="Calibri"/>
          <w:sz w:val="22"/>
          <w:lang w:val="es-AR" w:eastAsia="es-AR" w:bidi="es-AR"/>
        </w:rPr>
      </w:pPr>
    </w:p>
    <w:p>
      <w:pPr>
        <w:pStyle w:val="[Normal]"/>
        <w:ind w:firstLine="1134"/>
        <w:jc w:val="both"/>
        <w:rPr>
          <w:rFonts w:ascii="Calibri" w:hAnsi="Calibri" w:eastAsia="Calibri" w:cs="Calibri"/>
          <w:sz w:val="22"/>
          <w:lang w:val="es-AR" w:eastAsia="es-AR" w:bidi="es-AR"/>
        </w:rPr>
      </w:pPr>
    </w:p>
    <w:p>
      <w:pPr>
        <w:pStyle w:val="[Normal]"/>
        <w:ind w:firstLine="1134"/>
        <w:jc w:val="both"/>
        <w:rPr>
          <w:rFonts w:ascii="Calibri" w:hAnsi="Calibri" w:eastAsia="Calibri" w:cs="Calibri"/>
          <w:sz w:val="22"/>
          <w:lang w:val="es-AR" w:eastAsia="es-AR" w:bidi="es-AR"/>
        </w:rPr>
      </w:pPr>
    </w:p>
    <w:p>
      <w:pPr>
        <w:pStyle w:val="[Normal]"/>
        <w:ind w:firstLine="1134"/>
        <w:jc w:val="both"/>
        <w:rPr>
          <w:lang w:val="es-AR" w:eastAsia="es-AR" w:bidi="es-AR"/>
        </w:rPr>
      </w:pPr>
      <w:r>
        <w:rPr>
          <w:rFonts w:ascii="Calibri" w:hAnsi="Calibri" w:eastAsia="Calibri" w:cs="Calibri"/>
          <w:sz w:val="22"/>
          <w:lang w:val="es-AR" w:eastAsia="es-AR" w:bidi="es-AR"/>
        </w:rPr>
        <w:t xml:space="preserve">                                                                                                            </w:t>
      </w:r>
      <w:r>
        <w:rPr>
          <w:lang w:val="es-AR" w:eastAsia="es-AR" w:bidi="es-AR"/>
        </w:rPr>
        <w:t xml:space="preserve"> si///</w:t>
      </w:r>
    </w:p>
    <w:p>
      <w:pPr>
        <w:pStyle w:val="[Normal]"/>
        <w:ind w:firstLine="1134"/>
        <w:jc w:val="both"/>
        <w:rPr>
          <w:rFonts w:ascii="Calibri" w:hAnsi="Calibri" w:eastAsia="Calibri" w:cs="Calibri"/>
          <w:sz w:val="22"/>
          <w:lang w:val="es-AR" w:eastAsia="es-AR" w:bidi="es-AR"/>
        </w:rPr>
      </w:pPr>
      <w:r>
        <w:rPr>
          <w:lang w:val="es-AR" w:eastAsia="es-AR" w:bidi="es-AR"/>
        </w:rPr>
        <w:t xml:space="preserve">//guen las firmas.</w:t>
      </w:r>
    </w:p>
    <w:p>
      <w:pPr>
        <w:pStyle w:val="[Normal]"/>
        <w:ind w:firstLine="1134"/>
        <w:jc w:val="both"/>
        <w:rPr>
          <w:rFonts w:ascii="Calibri" w:hAnsi="Calibri" w:eastAsia="Calibri" w:cs="Calibri"/>
          <w:sz w:val="22"/>
          <w:lang w:val="es-AR" w:eastAsia="es-AR" w:bidi="es-AR"/>
        </w:rPr>
      </w:pPr>
    </w:p>
    <w:p>
      <w:pPr>
        <w:pStyle w:val="[Normal]"/>
        <w:ind w:firstLine="1134"/>
        <w:jc w:val="both"/>
        <w:rPr>
          <w:rFonts w:ascii="Calibri" w:hAnsi="Calibri" w:eastAsia="Calibri" w:cs="Calibri"/>
          <w:sz w:val="22"/>
          <w:lang w:val="es-AR" w:eastAsia="es-AR" w:bidi="es-AR"/>
        </w:rPr>
      </w:pPr>
    </w:p>
    <w:p>
      <w:pPr>
        <w:pStyle w:val="[Normal]"/>
        <w:ind w:firstLine="1134"/>
        <w:jc w:val="both"/>
        <w:rPr>
          <w:rFonts w:ascii="Calibri" w:hAnsi="Calibri" w:eastAsia="Calibri" w:cs="Calibri"/>
          <w:sz w:val="22"/>
          <w:lang w:val="es-AR" w:eastAsia="es-AR" w:bidi="es-AR"/>
        </w:rPr>
      </w:pPr>
    </w:p>
    <w:p>
      <w:pPr>
        <w:pStyle w:val="[Normal]"/>
        <w:ind w:firstLine="1134"/>
        <w:jc w:val="both"/>
        <w:rPr>
          <w:rFonts w:ascii="Calibri" w:hAnsi="Calibri" w:eastAsia="Calibri" w:cs="Calibri"/>
          <w:sz w:val="22"/>
          <w:lang w:val="es-AR" w:eastAsia="es-AR" w:bidi="es-AR"/>
        </w:rPr>
      </w:pPr>
    </w:p>
    <w:p>
      <w:pPr>
        <w:pStyle w:val="[Normal]"/>
        <w:ind w:firstLine="1134"/>
        <w:jc w:val="both"/>
        <w:rPr>
          <w:rFonts w:ascii="Calibri" w:hAnsi="Calibri" w:eastAsia="Calibri" w:cs="Calibri"/>
          <w:sz w:val="22"/>
          <w:lang w:val="es-AR" w:eastAsia="es-AR" w:bidi="es-AR"/>
        </w:rPr>
      </w:pPr>
    </w:p>
    <w:p>
      <w:pPr>
        <w:pStyle w:val="[Normal]"/>
        <w:ind w:firstLine="1134"/>
        <w:jc w:val="both"/>
        <w:rPr>
          <w:rFonts w:ascii="Calibri" w:hAnsi="Calibri" w:eastAsia="Calibri" w:cs="Calibri"/>
          <w:sz w:val="22"/>
          <w:lang w:val="es-AR" w:eastAsia="es-AR" w:bidi="es-AR"/>
        </w:rPr>
      </w:pPr>
    </w:p>
    <w:p>
      <w:pPr>
        <w:pStyle w:val="[Normal]"/>
        <w:ind w:firstLine="1134"/>
        <w:jc w:val="both"/>
        <w:rPr>
          <w:rFonts w:ascii="Calibri" w:hAnsi="Calibri" w:eastAsia="Calibri" w:cs="Calibri"/>
          <w:sz w:val="22"/>
          <w:lang w:val="es-AR" w:eastAsia="es-AR" w:bidi="es-AR"/>
        </w:rPr>
      </w:pPr>
      <w:r>
        <w:rPr>
          <w:rFonts w:ascii="Calibri" w:hAnsi="Calibri" w:eastAsia="Calibri" w:cs="Calibri"/>
          <w:sz w:val="22"/>
          <w:lang w:val="es-AR" w:eastAsia="es-AR" w:bidi="es-AR"/>
        </w:rPr>
        <w:t xml:space="preserve">Graciela SCARAFFIA                                              </w:t>
      </w:r>
    </w:p>
    <w:p>
      <w:pPr>
        <w:pStyle w:val="[Normal]"/>
        <w:ind w:firstLine="1134"/>
        <w:jc w:val="both"/>
        <w:rPr>
          <w:rFonts w:ascii="Calibri" w:hAnsi="Calibri" w:eastAsia="Calibri" w:cs="Calibri"/>
          <w:sz w:val="22"/>
          <w:lang w:val="es-AR" w:eastAsia="es-AR" w:bidi="es-AR"/>
        </w:rPr>
      </w:pPr>
      <w:r>
        <w:rPr>
          <w:rFonts w:ascii="Calibri" w:hAnsi="Calibri" w:eastAsia="Calibri" w:cs="Calibri"/>
          <w:sz w:val="22"/>
          <w:lang w:val="es-AR" w:eastAsia="es-AR" w:bidi="es-AR"/>
        </w:rPr>
        <w:t xml:space="preserve">Jueza </w:t>
      </w:r>
    </w:p>
    <w:p>
      <w:pPr>
        <w:pStyle w:val="[Normal]"/>
        <w:ind w:firstLine="1134"/>
        <w:jc w:val="both"/>
        <w:rPr>
          <w:rFonts w:ascii="Calibri" w:hAnsi="Calibri" w:eastAsia="Calibri" w:cs="Calibri"/>
          <w:sz w:val="22"/>
          <w:lang w:val="es-AR" w:eastAsia="es-AR" w:bidi="es-AR"/>
        </w:rPr>
      </w:pPr>
    </w:p>
    <w:p>
      <w:pPr>
        <w:pStyle w:val="[Normal]"/>
        <w:ind w:firstLine="1134"/>
        <w:jc w:val="both"/>
        <w:rPr>
          <w:rFonts w:ascii="Calibri" w:hAnsi="Calibri" w:eastAsia="Calibri" w:cs="Calibri"/>
          <w:sz w:val="22"/>
          <w:lang w:val="es-AR" w:eastAsia="es-AR" w:bidi="es-AR"/>
        </w:rPr>
      </w:pPr>
    </w:p>
    <w:p>
      <w:pPr>
        <w:pStyle w:val="[Normal]"/>
        <w:ind w:firstLine="1134"/>
        <w:jc w:val="both"/>
        <w:rPr>
          <w:rFonts w:ascii="Calibri" w:hAnsi="Calibri" w:eastAsia="Calibri" w:cs="Calibri"/>
          <w:sz w:val="22"/>
          <w:lang w:val="es-AR" w:eastAsia="es-AR" w:bidi="es-AR"/>
        </w:rPr>
      </w:pPr>
    </w:p>
    <w:p>
      <w:pPr>
        <w:pStyle w:val="[Normal]"/>
        <w:ind w:firstLine="1134"/>
        <w:jc w:val="both"/>
        <w:rPr>
          <w:rFonts w:ascii="Calibri" w:hAnsi="Calibri" w:eastAsia="Calibri" w:cs="Calibri"/>
          <w:sz w:val="22"/>
          <w:lang w:val="es-AR" w:eastAsia="es-AR" w:bidi="es-AR"/>
        </w:rPr>
      </w:pPr>
    </w:p>
    <w:p>
      <w:pPr>
        <w:pStyle w:val="[Normal]"/>
        <w:ind w:firstLine="1134"/>
        <w:jc w:val="center"/>
        <w:rPr>
          <w:rFonts w:ascii="Calibri" w:hAnsi="Calibri" w:eastAsia="Calibri" w:cs="Calibri"/>
          <w:sz w:val="22"/>
          <w:lang w:val="es-AR" w:eastAsia="es-AR" w:bidi="es-AR"/>
        </w:rPr>
      </w:pPr>
      <w:r>
        <w:rPr>
          <w:rFonts w:ascii="Calibri" w:hAnsi="Calibri" w:eastAsia="Calibri" w:cs="Calibri"/>
          <w:sz w:val="22"/>
          <w:lang w:val="es-AR" w:eastAsia="es-AR" w:bidi="es-AR"/>
        </w:rPr>
        <w:t xml:space="preserve">Adrian Oscar MOREA</w:t>
      </w:r>
    </w:p>
    <w:p>
      <w:pPr>
        <w:pStyle w:val="[Normal]"/>
        <w:ind w:firstLine="1134"/>
        <w:jc w:val="center"/>
        <w:rPr>
          <w:rFonts w:ascii="Calibri" w:hAnsi="Calibri" w:eastAsia="Calibri" w:cs="Calibri"/>
          <w:sz w:val="22"/>
          <w:lang w:val="es-AR" w:eastAsia="es-AR" w:bidi="es-AR"/>
        </w:rPr>
      </w:pPr>
      <w:r>
        <w:rPr>
          <w:rFonts w:ascii="Calibri" w:hAnsi="Calibri" w:eastAsia="Calibri" w:cs="Calibri"/>
          <w:sz w:val="22"/>
          <w:lang w:val="es-AR" w:eastAsia="es-AR" w:bidi="es-AR"/>
        </w:rPr>
        <w:t xml:space="preserve">Auxiliar Letrado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rFonts w:ascii="Calibri" w:hAnsi="Calibri" w:eastAsia="Calibri" w:cs="Calibri"/>
          <w:sz w:val="22"/>
          <w:lang w:val="es-AR" w:eastAsia="es-AR" w:bidi="es-AR"/>
        </w:rPr>
        <w:t xml:space="preserve">                                                     </w:t>
      </w:r>
    </w:p>
    <w:p>
      <w:pPr>
        <w:pStyle w:val="[Normal]"/>
        <w:spacing w:line="480" w:lineRule="auto"/>
        <w:ind w:firstLine="1134"/>
        <w:jc w:val="both"/>
        <w:rPr>
          <w:color w:val="000000"/>
          <w:lang w:val="es-AR" w:eastAsia="es-AR" w:bidi="es-AR"/>
        </w:rPr>
      </w:pPr>
    </w:p>
    <w:p>
      <w:pPr>
        <w:pStyle w:val="[Normal]"/>
        <w:spacing w:line="480" w:lineRule="auto"/>
        <w:ind w:firstLine="1134"/>
        <w:jc w:val="both"/>
        <w:rPr>
          <w:color w:val="000000"/>
          <w:lang w:val="es-AR" w:eastAsia="es-AR" w:bidi="es-AR"/>
        </w:rPr>
      </w:pPr>
    </w:p>
    <w:p>
      <w:pPr>
        <w:pStyle w:val="[Normal]"/>
        <w:ind w:firstLine="1134"/>
        <w:jc w:val="center"/>
        <w:rPr>
          <w:b/>
          <w:color w:val="000000"/>
          <w:sz w:val="20"/>
          <w:lang w:val="es-AR" w:eastAsia="es-AR" w:bidi="es-AR"/>
        </w:rPr>
      </w:pPr>
    </w:p>
    <w:p>
      <w:pPr>
        <w:pStyle w:val="[Normal]"/>
        <w:ind w:firstLine="1134"/>
        <w:rPr>
          <w:b/>
          <w:color w:val="000000"/>
          <w:sz w:val="20"/>
          <w:lang w:val="es-AR" w:eastAsia="es-AR" w:bidi="es-AR"/>
        </w:rPr>
      </w:pPr>
    </w:p>
    <w:p>
      <w:pPr>
        <w:pStyle w:val="[Normal]"/>
        <w:ind w:firstLine="1134"/>
        <w:jc w:val="center"/>
        <w:rPr>
          <w:b/>
          <w:color w:val="000000"/>
          <w:sz w:val="20"/>
          <w:lang w:val="es-AR" w:eastAsia="es-AR" w:bidi="es-AR"/>
        </w:rPr>
      </w:pPr>
    </w:p>
    <w:p>
      <w:pPr>
        <w:pStyle w:val="[Normal]"/>
        <w:ind w:firstLine="1134"/>
        <w:jc w:val="center"/>
        <w:rPr>
          <w:b/>
          <w:color w:val="000000"/>
          <w:sz w:val="20"/>
          <w:lang w:val="es-AR" w:eastAsia="es-AR" w:bidi="es-AR"/>
        </w:rPr>
      </w:pPr>
    </w:p>
    <w:p>
      <w:pPr>
        <w:pStyle w:val="[Normal]"/>
        <w:ind w:firstLine="1134"/>
        <w:jc w:val="center"/>
        <w:rPr>
          <w:b/>
          <w:color w:val="000000"/>
          <w:sz w:val="20"/>
          <w:lang w:val="es-AR" w:eastAsia="es-AR" w:bidi="es-AR"/>
        </w:rPr>
      </w:pPr>
    </w:p>
    <w:p>
      <w:pPr>
        <w:pStyle w:val="[Normal]"/>
        <w:ind w:firstLine="1134"/>
        <w:jc w:val="center"/>
        <w:rPr>
          <w:b/>
          <w:color w:val="000000"/>
          <w:sz w:val="20"/>
          <w:lang w:val="es-AR" w:eastAsia="es-AR" w:bidi="es-AR"/>
        </w:rPr>
      </w:pPr>
    </w:p>
    <w:p>
      <w:pPr>
        <w:pStyle w:val="[Normal]"/>
        <w:jc w:val="center"/>
        <w:rPr>
          <w:b/>
          <w:color w:val="000000"/>
          <w:sz w:val="20"/>
          <w:lang w:val="es-AR" w:eastAsia="es-AR" w:bidi="es-AR"/>
        </w:rPr>
      </w:pPr>
    </w:p>
    <w:p>
      <w:pPr>
        <w:pStyle w:val="[Normal]"/>
        <w:jc w:val="center"/>
        <w:rPr>
          <w:b/>
          <w:color w:val="000000"/>
          <w:sz w:val="20"/>
          <w:lang w:val="es-AR" w:eastAsia="es-AR" w:bidi="es-AR"/>
        </w:rPr>
      </w:pPr>
    </w:p>
    <w:p>
      <w:pPr>
        <w:pStyle w:val="[Normal]"/>
        <w:jc w:val="center"/>
        <w:rPr>
          <w:b/>
          <w:color w:val="000000"/>
          <w:sz w:val="20"/>
          <w:lang w:val="es-AR" w:eastAsia="es-AR" w:bidi="es-AR"/>
        </w:rPr>
      </w:pPr>
    </w:p>
    <w:p>
      <w:pPr>
        <w:pStyle w:val="[Normal]"/>
        <w:rPr>
          <w:b/>
          <w:color w:val="000000"/>
          <w:sz w:val="20"/>
          <w:lang w:val="es-AR" w:eastAsia="es-AR" w:bidi="es-AR"/>
        </w:rPr>
      </w:pPr>
    </w:p>
    <w:sectPr>
      <w:pgSz w:w="11906" w:h="16832"/>
      <w:pgMar w:top="2835" w:right="850" w:bottom="1134" w:left="2835" w:header="567" w:footer="567"/>
      <w:pgBorders w:display="allPages" w:offsetFrom="page"/>
    </w:sectPr>
  </w:body>
</w:document>
</file>

<file path=word/fontTable.xml><?xml version="1.0" encoding="utf-8"?>
<w:fonts xmlns:w="http://schemas.openxmlformats.org/wordprocessingml/2006/main">
  <w:font w:name="Arial">
    <w:charset w:val="00"/>
    <w:family w:val="swiss"/>
    <w:pitch w:val="variable"/>
  </w:font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Calibri"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bordersDoNotSurroundHeader/>
  <w:bordersDoNotSurroundFooter/>
  <w:defaultTabStop w:val="1134"/>
  <w:compat>
    <w:noExtraLineSpacing/>
  </w:compat>
</w:settings>
</file>

<file path=word/styles.xml><?xml version="1.0" encoding="utf-8"?>
<w:styles xmlns:w="http://schemas.openxmlformats.org/wordprocessingml/2006/main">
  <w:docDefaults>
    <w:rPrDefault>
      <w:rPr>
        <w:rFonts w:ascii="Arial"/>
        <w:sz w:val="24"/>
      </w:rPr>
    </w:rPrDefault>
  </w:docDefaults>
  <w:latentStyles/>
  <w:style w:type="paragraph" w:styleId="[Normal]" w:default="1">
    <w:name w:val="[Normal]"/>
    <w:next w:val="[Normal]"/>
    <w:qFormat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before="0" w:after="0" w:line="240" w:lineRule="auto"/>
      <w:ind w:left="0" w:right="0" w:firstLine="0"/>
      <w:jc w:val="left"/>
    </w:pPr>
    <w:rPr>
      <w:rFonts w:ascii="Arial" w:hAnsi="Arial" w:eastAsia="Arial" w:cs="Arial"/>
      <w:b w:val="off"/>
      <w:bCs w:val="off"/>
      <w:i w:val="off"/>
      <w:iCs w:val="off"/>
      <w:strike w:val="off"/>
      <w:color w:val="auto"/>
      <w:sz w:val="24"/>
      <w:szCs w:val="24"/>
      <w:shd w:val="clear" w:fill="auto"/>
      <w:rtl w:val="off"/>
      <w:lang w:val="x-none" w:eastAsia="x-none" w:bidi="x-none"/>
    </w:rPr>
  </w:style>
</w:styles>
</file>

<file path=word/_rels/document.xml.rels><?xml version="1.0" encoding="UTF-8" standalone="yes"?><Relationships xmlns="http://schemas.openxmlformats.org/package/2006/relationships">
	<Relationship Id="rId00004" Type="http://schemas.openxmlformats.org/officeDocument/2006/relationships/styles" Target="styles.xml"/>
	<Relationship Id="rId00005" Type="http://schemas.openxmlformats.org/officeDocument/2006/relationships/fontTable" Target="fontTable.xml"/>
	<Relationship Id="rId00006" Type="http://schemas.openxmlformats.org/officeDocument/2006/relationships/settings" Target="settings.xm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TX_DOX 20.0.150.502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</cp:coreProperties>
</file>