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39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248/251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04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3441-18</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MOLIENDAS PERGAMINO S.A. S/ INCIDENTE DE REVISION</w:t>
      </w:r>
      <w:r>
        <w:rPr>
          <w:b/>
          <w:lang w:val="es-AR" w:eastAsia="es-AR" w:bidi="es-AR"/>
        </w:rPr>
        <w:t xml:space="preserve">"</w:t>
      </w:r>
      <w:r>
        <w:rPr>
          <w:lang w:val="es-AR" w:eastAsia="es-AR" w:bidi="es-AR"/>
        </w:rPr>
        <w:t xml:space="preserve">, Expte. </w:t>
      </w:r>
      <w:r>
        <w:rPr>
          <w:color w:val="000000"/>
          <w:lang w:val="es-AR" w:eastAsia="es-AR" w:bidi="es-AR"/>
        </w:rPr>
        <w:t xml:space="preserve">70856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w:t>
      </w:r>
    </w:p>
    <w:p>
      <w:pPr>
        <w:pStyle w:val="[Normal]"/>
        <w:spacing w:line="480" w:lineRule="auto"/>
        <w:ind w:firstLine="1134"/>
        <w:jc w:val="both"/>
        <w:rPr>
          <w:lang w:val="es-AR" w:eastAsia="es-AR" w:bidi="es-AR"/>
        </w:rPr>
      </w:pPr>
      <w:r>
        <w:rPr>
          <w:lang w:val="es-AR" w:eastAsia="es-AR" w:bidi="es-AR"/>
        </w:rPr>
        <w:t xml:space="preserve">El señor Juez de primera instancia hizo lugar parcialmente a la revisión planteada y declaró admisible el crédito insinuado por el Banco de la Provincia de Buenos Aires</w:t>
      </w:r>
      <w:r>
        <w:rPr>
          <w:b/>
          <w:lang w:val="es-AR" w:eastAsia="es-AR" w:bidi="es-AR"/>
        </w:rPr>
        <w:t xml:space="preserve"> </w:t>
      </w:r>
      <w:r>
        <w:rPr>
          <w:lang w:val="es-AR" w:eastAsia="es-AR" w:bidi="es-AR"/>
        </w:rPr>
        <w:t xml:space="preserve">por la suma $118.775,97,</w:t>
      </w:r>
      <w:r>
        <w:rPr>
          <w:b/>
          <w:lang w:val="es-AR" w:eastAsia="es-AR" w:bidi="es-AR"/>
        </w:rPr>
        <w:t xml:space="preserve"> </w:t>
      </w:r>
      <w:r>
        <w:rPr>
          <w:lang w:val="es-AR" w:eastAsia="es-AR" w:bidi="es-AR"/>
        </w:rPr>
        <w:t xml:space="preserve">con carácter quirografario. Aplicó las costas del presente incidente a la concursada y reguló los honorarios de los letrados y perito intervinientes. </w:t>
      </w:r>
    </w:p>
    <w:p>
      <w:pPr>
        <w:pStyle w:val="[Normal]"/>
        <w:spacing w:line="480" w:lineRule="auto"/>
        <w:ind w:firstLine="1134"/>
        <w:jc w:val="both"/>
        <w:rPr>
          <w:lang w:val="es-AR" w:eastAsia="es-AR" w:bidi="es-AR"/>
        </w:rPr>
      </w:pPr>
      <w:r>
        <w:rPr>
          <w:lang w:val="es-AR" w:eastAsia="es-AR" w:bidi="es-AR"/>
        </w:rPr>
        <w:t xml:space="preserve">Disconforme con lo decidido, apela la actora a fs. 154, concedido el recurso en relación a fs. 155, fundado mediante pieza obrante a fs. 160/3vta., no habiendo la sindicatura contestado la vista conferida (fs. 182).</w:t>
      </w:r>
    </w:p>
    <w:p>
      <w:pPr>
        <w:pStyle w:val="[Normal]"/>
        <w:spacing w:line="480" w:lineRule="auto"/>
        <w:ind w:firstLine="1134"/>
        <w:jc w:val="both"/>
        <w:rPr>
          <w:lang w:val="es-AR" w:eastAsia="es-AR" w:bidi="es-AR"/>
        </w:rPr>
      </w:pPr>
      <w:r>
        <w:rPr>
          <w:lang w:val="es-AR" w:eastAsia="es-AR" w:bidi="es-AR"/>
        </w:rPr>
        <w:t xml:space="preserve">Elevados los autos, pasan a resolver a fs. 185,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quejosa se agravia del decisorio atacado por cuanto sostiene que la misma resulta injusta, arbitraria y carente de adecuada fundamentación. </w:t>
      </w:r>
    </w:p>
    <w:p>
      <w:pPr>
        <w:pStyle w:val="[Normal]"/>
        <w:spacing w:line="480" w:lineRule="auto"/>
        <w:ind w:firstLine="1134"/>
        <w:jc w:val="both"/>
        <w:rPr>
          <w:lang w:val="es-AR" w:eastAsia="es-AR" w:bidi="es-AR"/>
        </w:rPr>
      </w:pPr>
      <w:r>
        <w:rPr>
          <w:lang w:val="es-AR" w:eastAsia="es-AR" w:bidi="es-AR"/>
        </w:rPr>
        <w:t xml:space="preserve">Reproduce un fragmento de la sentencia recurrida y cita jurisprudencia de la Cámara Nacional de Apelaciones en lo Civil relativa a la determinación de la tasa de interés, facultad judicial de morigeración y pautas de fijación, concluyendo que no existe disparidad entre lo pactado voluntariamente entre las partes y el orden público, habiéndose informado debidamente a la parte demandada de la condiciones contractuales. Asimismo expresa que la accionante no se ha aprovechado de la situación del concursado y que la aplicación de intereses no evidencia una clara desproporción de los valores económicos en juego, así como tampoco prescinde de la realidad económica.</w:t>
      </w:r>
    </w:p>
    <w:p>
      <w:pPr>
        <w:pStyle w:val="[Normal]"/>
        <w:spacing w:line="480" w:lineRule="auto"/>
        <w:ind w:firstLine="1134"/>
        <w:jc w:val="both"/>
        <w:rPr>
          <w:lang w:val="es-AR" w:eastAsia="es-AR" w:bidi="es-AR"/>
        </w:rPr>
      </w:pPr>
      <w:r>
        <w:rPr>
          <w:lang w:val="es-AR" w:eastAsia="es-AR" w:bidi="es-AR"/>
        </w:rPr>
        <w:t xml:space="preserve">Finalmente se explaya en torno a los intereses bancarios y la autonomía de la voluntad. </w:t>
      </w:r>
    </w:p>
    <w:p>
      <w:pPr>
        <w:pStyle w:val="[Normal]"/>
        <w:spacing w:line="480" w:lineRule="auto"/>
        <w:ind w:firstLine="1134"/>
        <w:jc w:val="both"/>
        <w:rPr>
          <w:lang w:val="es-AR" w:eastAsia="es-AR" w:bidi="es-AR"/>
        </w:rPr>
      </w:pPr>
      <w:r>
        <w:rPr>
          <w:lang w:val="es-AR" w:eastAsia="es-AR" w:bidi="es-AR"/>
        </w:rPr>
        <w:t xml:space="preserve">Hace reserva del caso federal y solicita se revoque la sentencia apelada.  </w:t>
      </w:r>
    </w:p>
    <w:p>
      <w:pPr>
        <w:pStyle w:val="[Normal]"/>
        <w:spacing w:line="480" w:lineRule="auto"/>
        <w:ind w:firstLine="1134"/>
        <w:jc w:val="both"/>
        <w:rPr>
          <w:lang w:val="es-AR" w:eastAsia="es-AR" w:bidi="es-AR"/>
        </w:rPr>
      </w:pPr>
      <w:r>
        <w:rPr>
          <w:lang w:val="es-AR" w:eastAsia="es-AR" w:bidi="es-AR"/>
        </w:rPr>
        <w:t xml:space="preserve">Entrando a resolver, ésta Cámara ha dicho reiteradamente que todo planteo revisor debe contener un análisis razonado de la materia impugnada, aportando la demostración de lo que se reputa erróneo, injusto o contrario a derecho, debiendo agotarse en la segunda instancia la carga técnica de comunicar a la Alzada cuales son los motivos concretos del agravio sin que puedan ser suficientes las meras discrepancias subjetivas con el criterio expuesto por el juzgador (conf. Morello Códigos Procesales, pág 204 T III).</w:t>
      </w:r>
    </w:p>
    <w:p>
      <w:pPr>
        <w:pStyle w:val="[Normal]"/>
        <w:spacing w:line="480" w:lineRule="auto"/>
        <w:ind w:firstLine="1134"/>
        <w:jc w:val="both"/>
        <w:rPr>
          <w:lang w:val="es-AR" w:eastAsia="es-AR" w:bidi="es-AR"/>
        </w:rPr>
      </w:pPr>
      <w:r>
        <w:rPr>
          <w:lang w:val="es-AR" w:eastAsia="es-AR" w:bidi="es-AR"/>
        </w:rPr>
        <w:t xml:space="preserve">Se ha señalado claramente que "Conforme a la exigencia del art. 265 del CPC, aplicable al memorial que establece el art. 246 del mismo ordenamiento, el escrito de  expresión de agravios debe contener una crítica concreta y razonada de las partes del fallo que el apelante considere equivocadas (Cam Nac. civ. sala C, Der. v. 29 p. 634 La Ley 1984, Cfr Morello "Códigos.." pág 212 T III).</w:t>
      </w:r>
    </w:p>
    <w:p>
      <w:pPr>
        <w:pStyle w:val="[Normal]"/>
        <w:spacing w:line="480" w:lineRule="auto"/>
        <w:ind w:firstLine="1134"/>
        <w:jc w:val="both"/>
        <w:rPr>
          <w:lang w:val="es-AR" w:eastAsia="es-AR" w:bidi="es-AR"/>
        </w:rPr>
      </w:pPr>
      <w:r>
        <w:rPr>
          <w:lang w:val="es-AR" w:eastAsia="es-AR" w:bidi="es-AR"/>
        </w:rPr>
        <w:t xml:space="preserve">Al respecto ha dicho la SCBA que ".</w:t>
      </w:r>
      <w:r>
        <w:rPr>
          <w:i/>
          <w:lang w:val="es-AR" w:eastAsia="es-AR" w:bidi="es-AR"/>
        </w:rPr>
        <w:t xml:space="preserve">..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w:t>
      </w:r>
      <w:r>
        <w:rPr>
          <w:lang w:val="es-AR" w:eastAsia="es-AR" w:bidi="es-AR"/>
        </w:rPr>
        <w:t xml:space="preserve">..(causa C 1128-13 S 16/07/2014).</w:t>
      </w:r>
    </w:p>
    <w:p>
      <w:pPr>
        <w:pStyle w:val="[Normal]"/>
        <w:spacing w:line="480" w:lineRule="auto"/>
        <w:ind w:firstLine="1134"/>
        <w:jc w:val="both"/>
        <w:rPr>
          <w:lang w:val="es-AR" w:eastAsia="es-AR" w:bidi="es-AR"/>
        </w:rPr>
      </w:pPr>
      <w:r>
        <w:rPr>
          <w:lang w:val="es-AR" w:eastAsia="es-AR" w:bidi="es-AR"/>
        </w:rPr>
        <w:t xml:space="preserve">El juez a-quo consideró que era necesario hacer uso de la facultad de morigerar la tasa de interés puesto que la que se había pactado era excesiva, fijándola en el equivalente a una vez y media la tasa que percibe el Banco de la Provincia de Buenos Aires (tasa activa) de descuento a 30 días. </w:t>
      </w:r>
    </w:p>
    <w:p>
      <w:pPr>
        <w:pStyle w:val="[Normal]"/>
        <w:spacing w:line="480" w:lineRule="auto"/>
        <w:ind w:firstLine="1134"/>
        <w:jc w:val="both"/>
        <w:rPr>
          <w:lang w:val="es-AR" w:eastAsia="es-AR" w:bidi="es-AR"/>
        </w:rPr>
      </w:pPr>
      <w:r>
        <w:rPr>
          <w:lang w:val="es-AR" w:eastAsia="es-AR" w:bidi="es-AR"/>
        </w:rPr>
        <w:t xml:space="preserve">Acto seguido practicó liquidación y concluyó que el saldo deudor de cuenta corriente generado por la utilización de la tarjeta de crédito Visa Procampo asciende a la suma de $118.775,97.</w:t>
      </w:r>
    </w:p>
    <w:p>
      <w:pPr>
        <w:pStyle w:val="[Normal]"/>
        <w:spacing w:line="480" w:lineRule="auto"/>
        <w:ind w:firstLine="1134"/>
        <w:jc w:val="both"/>
        <w:rPr>
          <w:lang w:val="es-AR" w:eastAsia="es-AR" w:bidi="es-AR"/>
        </w:rPr>
      </w:pPr>
      <w:r>
        <w:rPr>
          <w:lang w:val="es-AR" w:eastAsia="es-AR" w:bidi="es-AR"/>
        </w:rPr>
        <w:t xml:space="preserve">El apelante estaba obligado a demostrar porque estimaba equivocada aquella premisa del fallo y en que sustenta el error que le atribuye al sentenciante. </w:t>
      </w:r>
    </w:p>
    <w:p>
      <w:pPr>
        <w:pStyle w:val="[Normal]"/>
        <w:spacing w:line="480" w:lineRule="auto"/>
        <w:jc w:val="both"/>
        <w:rPr>
          <w:lang w:val="es-AR" w:eastAsia="es-AR" w:bidi="es-AR"/>
        </w:rPr>
      </w:pPr>
      <w:r>
        <w:rPr>
          <w:lang w:val="es-AR" w:eastAsia="es-AR" w:bidi="es-AR"/>
        </w:rPr>
        <w:t xml:space="preserve">	Nada de lo descripto ha ocurrido. Las quejas contenidas en la expresión de agravios, se limitan a manifestar su desacuerdo sin precisar porque es desacertada aquella conclusión, limitándose a reiterar textualmente en gran medida los argumentos expuestos al deducir la demanda (v. fs. 162/3, Intereses bancarios y autonomía de la voluntad) a la par que reproduce jurisprudencia de la Cámara Nacional de Apelaciones Civil, Sala B, y comentarios sobre las mismas, sin entrar a sopesar las razones expresamente tenidas en cuenta por el Juez de Primera Instancia para morigerar los intereses. </w:t>
      </w:r>
    </w:p>
    <w:p>
      <w:pPr>
        <w:pStyle w:val="[Normal]"/>
        <w:spacing w:line="480" w:lineRule="auto"/>
        <w:jc w:val="both"/>
        <w:rPr>
          <w:lang w:val="es-AR" w:eastAsia="es-AR" w:bidi="es-AR"/>
        </w:rPr>
      </w:pPr>
      <w:r>
        <w:rPr>
          <w:lang w:val="es-AR" w:eastAsia="es-AR" w:bidi="es-AR"/>
        </w:rPr>
        <w:t xml:space="preserve">	Adunando que quien intenta impugnar una liquidación tiene la carga específica de demostrar fundadamente cuál sería el numeral correcto según su parecer, comparando al efecto la tasa de interés fijada por el a-quo y la que el recurrente estima adecuada; y en la especie ello tampoco ha acontecido.</w:t>
      </w:r>
    </w:p>
    <w:p>
      <w:pPr>
        <w:pStyle w:val="[Normal]"/>
        <w:spacing w:line="480" w:lineRule="auto"/>
        <w:jc w:val="both"/>
        <w:rPr>
          <w:lang w:val="es-AR" w:eastAsia="es-AR" w:bidi="es-AR"/>
        </w:rPr>
      </w:pPr>
      <w:r>
        <w:rPr>
          <w:lang w:val="es-AR" w:eastAsia="es-AR" w:bidi="es-AR"/>
        </w:rPr>
        <w:t xml:space="preserve">	Consecuentemente el memorial no cumple con los requisitos aludidos, cuando se encuentra concebido en términos generales y sin rebatir, punto por punto, las partes de una resolución judicial que se considera equivocada, manifestando una mera discrepancia y sin suministrar argumentos jurídicos que lo desmerezcan. Se requiere así, que se demuestren los pretendidos errores, omisiones y deficiencias que el apelante atribuye al pronunciamiento que ataca". (Cfr. Morello op. cit.  pág 212).</w:t>
      </w:r>
    </w:p>
    <w:p>
      <w:pPr>
        <w:pStyle w:val="[Normal]"/>
        <w:spacing w:line="480" w:lineRule="auto"/>
        <w:jc w:val="both"/>
        <w:rPr>
          <w:lang w:val="es-AR" w:eastAsia="es-AR" w:bidi="es-AR"/>
        </w:rPr>
      </w:pPr>
      <w:r>
        <w:rPr>
          <w:lang w:val="es-AR" w:eastAsia="es-AR" w:bidi="es-AR"/>
        </w:rPr>
        <w:t xml:space="preserve">	Si bien es cierto que debe prevalecer un criterio amplio en la apreciación de los requisitos que debe cumplir la expresión de agravios, conforme el aseguramiento de la defensa en juicio previsto en el art. 18 de la Constitución Nacional, entiendo que en la especie es improcedente abrir la función revisora teniendo en cuenta que la técnica recursiva puesta de manifiesto en el escrito de fs. 160/3vta. no alcanza las pautas mínimas antes enunciadas, desprendiéndose de su sola lectura que no se abastece la carga procesal de alcanzar cierto nivel crítico que permita su tratamiento, mostrándose inidóneo ya que no se ataca en forma concreta y frontal los verdaderos fundamentos del fallo apelado.</w:t>
      </w:r>
    </w:p>
    <w:p>
      <w:pPr>
        <w:pStyle w:val="[Normal]"/>
        <w:spacing w:line="480" w:lineRule="auto"/>
        <w:ind w:firstLine="1134"/>
        <w:jc w:val="both"/>
        <w:rPr>
          <w:lang w:val="es-AR" w:eastAsia="es-AR" w:bidi="es-AR"/>
        </w:rPr>
      </w:pPr>
      <w:r>
        <w:rPr>
          <w:lang w:val="es-AR" w:eastAsia="es-AR" w:bidi="es-AR"/>
        </w:rPr>
        <w:t xml:space="preserve">Concluyo entonces, y tal como ha sostenido en forma reiterada y pacífica esta Alzada, que la pieza por la que se pretendiera vehiculizar los agravios dista de constituir la crítica concreta y razonada de las partes del fallo que la apelante considera injustas o equivocadas, con lo que no alcanza la categorización que técnicamente le es requerida, no correspondiendo en consecuencia otorgar al disgusto manifestado del modo expuesto la suficiente relevancia jurídico-procesal que lo torne apto para abrir la competencia revisora de la Cámara (arts. 260 y 261 CPCC).</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lang w:val="es-AR" w:eastAsia="es-AR" w:bidi="es-AR"/>
        </w:rPr>
        <w:t xml:space="preserve">Declarar desierto el recurso de apelación deducido por la parte actora y firme la sentencia de fs. 145/9 (arts. 260 y 261 del CPCC).</w:t>
      </w:r>
    </w:p>
    <w:p>
      <w:pPr>
        <w:pStyle w:val="[Normal]"/>
        <w:spacing w:line="480" w:lineRule="auto"/>
        <w:ind w:firstLine="1134"/>
        <w:jc w:val="both"/>
        <w:rPr>
          <w:lang w:val="es-AR" w:eastAsia="es-AR" w:bidi="es-AR"/>
        </w:rPr>
      </w:pPr>
      <w:r>
        <w:rPr>
          <w:lang w:val="es-AR" w:eastAsia="es-AR" w:bidi="es-AR"/>
        </w:rPr>
        <w:t xml:space="preserve">Sin costas por no mediar controversia de partes (art. 68 a contrario sensu y ccs. del CPCC).</w:t>
      </w:r>
    </w:p>
    <w:p>
      <w:pPr>
        <w:pStyle w:val="[Normal]"/>
        <w:spacing w:line="480" w:lineRule="auto"/>
        <w:ind w:firstLine="1134"/>
        <w:jc w:val="both"/>
        <w:rPr>
          <w:lang w:val="es-AR" w:eastAsia="es-AR" w:bidi="es-AR"/>
        </w:rPr>
      </w:pPr>
      <w:r>
        <w:rPr>
          <w:lang w:val="es-AR" w:eastAsia="es-AR" w:bidi="es-AR"/>
        </w:rPr>
        <w:t xml:space="preserve">Tener presente la reserva del caso federal efectuada a fs. 163/vta.</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480" w:lineRule="auto"/>
        <w:ind w:firstLine="1134"/>
        <w:jc w:val="both"/>
        <w:rPr>
          <w:color w:val="000000"/>
          <w:lang w:val="es-AR" w:eastAsia="es-AR" w:bidi="es-AR"/>
        </w:rPr>
      </w:pPr>
      <w:r>
        <w:rPr>
          <w:lang w:val="es-AR" w:eastAsia="es-AR" w:bidi="es-AR"/>
        </w:rPr>
        <w:t xml:space="preserve">Declarar desierto el recurso de apelación deducido por la parte actora y firme la sentencia de fs. 145/9 (arts. 260 y 261 del CPCC).</w:t>
      </w:r>
    </w:p>
    <w:p>
      <w:pPr>
        <w:pStyle w:val="[Normal]"/>
        <w:spacing w:line="480" w:lineRule="auto"/>
        <w:ind w:firstLine="1134"/>
        <w:jc w:val="both"/>
        <w:rPr>
          <w:lang w:val="es-AR" w:eastAsia="es-AR" w:bidi="es-AR"/>
        </w:rPr>
      </w:pPr>
      <w:r>
        <w:rPr>
          <w:lang w:val="es-AR" w:eastAsia="es-AR" w:bidi="es-AR"/>
        </w:rPr>
        <w:t xml:space="preserve">Sin costas por no mediar controversia de partes (art. 68 a contrario sensu y ccs. del CPCC).</w:t>
      </w:r>
    </w:p>
    <w:p>
      <w:pPr>
        <w:pStyle w:val="[Normal]"/>
        <w:spacing w:line="480" w:lineRule="auto"/>
        <w:ind w:firstLine="1134"/>
        <w:jc w:val="both"/>
        <w:rPr>
          <w:lang w:val="es-AR" w:eastAsia="es-AR" w:bidi="es-AR"/>
        </w:rPr>
      </w:pPr>
      <w:r>
        <w:rPr>
          <w:lang w:val="es-AR" w:eastAsia="es-AR" w:bidi="es-AR"/>
        </w:rPr>
        <w:t xml:space="preserve">Tener presente la reserva del caso federal efectuada a fs. 163/vta.</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ind w:firstLine="1134"/>
        <w:jc w:val="right"/>
        <w:rPr>
          <w:b/>
          <w:color w:val="000000"/>
          <w:sz w:val="16"/>
          <w:lang w:val="es-AR" w:eastAsia="es-AR" w:bidi="es-AR"/>
        </w:rPr>
      </w:pPr>
      <w:r>
        <w:rPr>
          <w:b/>
          <w:color w:val="000000"/>
          <w:sz w:val="16"/>
          <w:lang w:val="es-AR" w:eastAsia="es-AR" w:bidi="es-AR"/>
        </w:rPr>
        <w:t xml:space="preserve"> Roberto Manuel DEGLEUE                </w:t>
      </w:r>
    </w:p>
    <w:p>
      <w:pPr>
        <w:pStyle w:val="[Normal]"/>
        <w:ind w:firstLine="1134"/>
        <w:jc w:val="right"/>
        <w:rPr>
          <w:b/>
          <w:color w:val="000000"/>
          <w:sz w:val="16"/>
          <w:lang w:val="es-AR" w:eastAsia="es-AR" w:bidi="es-AR"/>
        </w:rPr>
      </w:pPr>
      <w:r>
        <w:rPr>
          <w:b/>
          <w:color w:val="000000"/>
          <w:sz w:val="16"/>
          <w:lang w:val="es-AR" w:eastAsia="es-AR" w:bidi="es-AR"/>
        </w:rPr>
        <w:t xml:space="preserve">Presidente Excma. Cámara de              </w:t>
      </w:r>
    </w:p>
    <w:p>
      <w:pPr>
        <w:pStyle w:val="[Normal]"/>
        <w:ind w:firstLine="1134"/>
        <w:jc w:val="right"/>
        <w:rPr>
          <w:b/>
          <w:color w:val="000000"/>
          <w:sz w:val="16"/>
          <w:lang w:val="es-AR" w:eastAsia="es-AR" w:bidi="es-AR"/>
        </w:rPr>
      </w:pPr>
      <w:r>
        <w:rPr>
          <w:b/>
          <w:color w:val="000000"/>
          <w:sz w:val="16"/>
          <w:lang w:val="es-AR" w:eastAsia="es-AR" w:bidi="es-AR"/>
        </w:rPr>
        <w:t xml:space="preserve">Apelación en lo Civil y Comercial            </w:t>
      </w:r>
    </w:p>
    <w:p>
      <w:pPr>
        <w:pStyle w:val="[Normal]"/>
        <w:ind w:firstLine="1134"/>
        <w:jc w:val="right"/>
        <w:rPr>
          <w:b/>
          <w:color w:val="000000"/>
          <w:sz w:val="16"/>
          <w:lang w:val="es-AR" w:eastAsia="es-AR" w:bidi="es-AR"/>
        </w:rPr>
      </w:pPr>
      <w:r>
        <w:rPr>
          <w:b/>
          <w:color w:val="000000"/>
          <w:sz w:val="16"/>
          <w:lang w:val="es-AR" w:eastAsia="es-AR" w:bidi="es-AR"/>
        </w:rPr>
        <w:t xml:space="preserve">Dpto. Judicial Pergamino                  </w:t>
      </w:r>
    </w:p>
    <w:p>
      <w:pPr>
        <w:pStyle w:val="[Normal]"/>
        <w:ind w:firstLine="1134"/>
        <w:jc w:val="both"/>
        <w:rPr>
          <w:b/>
          <w:color w:val="000000"/>
          <w:sz w:val="16"/>
          <w:lang w:val="es-AR" w:eastAsia="es-AR" w:bidi="es-AR"/>
        </w:rPr>
      </w:pPr>
      <w:r>
        <w:rPr>
          <w:b/>
          <w:color w:val="000000"/>
          <w:sz w:val="16"/>
          <w:lang w:val="es-AR" w:eastAsia="es-AR" w:bidi="es-AR"/>
        </w:rPr>
        <w:t xml:space="preserve">Graciela SCARAFFIA                                              </w:t>
      </w:r>
    </w:p>
    <w:p>
      <w:pPr>
        <w:pStyle w:val="[Normal]"/>
        <w:ind w:firstLine="1134"/>
        <w:jc w:val="both"/>
        <w:rPr>
          <w:b/>
          <w:color w:val="000000"/>
          <w:sz w:val="16"/>
          <w:lang w:val="es-AR" w:eastAsia="es-AR" w:bidi="es-AR"/>
        </w:rPr>
      </w:pPr>
      <w:r>
        <w:rPr>
          <w:b/>
          <w:color w:val="000000"/>
          <w:sz w:val="16"/>
          <w:lang w:val="es-AR" w:eastAsia="es-AR" w:bidi="es-AR"/>
        </w:rPr>
        <w:t xml:space="preserve">         Jueza </w:t>
      </w:r>
    </w:p>
    <w:p>
      <w:pPr>
        <w:pStyle w:val="[Normal]"/>
        <w:ind w:firstLine="1134"/>
        <w:jc w:val="center"/>
        <w:rPr>
          <w:b/>
          <w:color w:val="000000"/>
          <w:sz w:val="16"/>
          <w:lang w:val="es-AR" w:eastAsia="es-AR" w:bidi="es-AR"/>
        </w:rPr>
      </w:pPr>
    </w:p>
    <w:p>
      <w:pPr>
        <w:pStyle w:val="[Normal]"/>
        <w:ind w:firstLine="1134"/>
        <w:jc w:val="center"/>
        <w:rPr>
          <w:b/>
          <w:color w:val="000000"/>
          <w:sz w:val="16"/>
          <w:lang w:val="es-AR" w:eastAsia="es-AR" w:bidi="es-AR"/>
        </w:rPr>
      </w:pPr>
    </w:p>
    <w:p>
      <w:pPr>
        <w:pStyle w:val="[Normal]"/>
        <w:ind w:firstLine="1134"/>
        <w:jc w:val="center"/>
        <w:rPr>
          <w:b/>
          <w:color w:val="000000"/>
          <w:sz w:val="16"/>
          <w:lang w:val="es-AR" w:eastAsia="es-AR" w:bidi="es-AR"/>
        </w:rPr>
      </w:pPr>
      <w:r>
        <w:rPr>
          <w:b/>
          <w:color w:val="000000"/>
          <w:sz w:val="16"/>
          <w:lang w:val="es-AR" w:eastAsia="es-AR" w:bidi="es-AR"/>
        </w:rPr>
        <w:t xml:space="preserve">Nicolás MARTINEZ</w:t>
      </w:r>
    </w:p>
    <w:p>
      <w:pPr>
        <w:pStyle w:val="[Normal]"/>
        <w:ind w:firstLine="1134"/>
        <w:jc w:val="center"/>
        <w:rPr>
          <w:color w:val="000000"/>
          <w:sz w:val="16"/>
          <w:lang w:val="es-AR" w:eastAsia="es-AR" w:bidi="es-AR"/>
        </w:rPr>
      </w:pPr>
      <w:r>
        <w:rPr>
          <w:b/>
          <w:color w:val="000000"/>
          <w:sz w:val="16"/>
          <w:lang w:val="es-AR" w:eastAsia="es-AR" w:bidi="es-AR"/>
        </w:rPr>
        <w:t xml:space="preserve">Auxiliar Letrado</w:t>
      </w:r>
    </w:p>
    <w:p>
      <w:pPr>
        <w:pStyle w:val="[Normal]"/>
        <w:rPr>
          <w:color w:val="000000"/>
          <w:sz w:val="16"/>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