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lang w:val="es-AR" w:eastAsia="es-AR" w:bidi="es-AR"/>
        </w:rPr>
      </w:pPr>
      <w:r>
        <w:rPr>
          <w:sz w:val="20"/>
          <w:lang w:val="es-AR" w:eastAsia="es-AR" w:bidi="es-AR"/>
        </w:rPr>
        <w:t xml:space="preserve"> </w:t>
      </w:r>
      <w:r>
        <w:rPr>
          <w:b/>
          <w:lang w:val="es-AR" w:eastAsia="es-AR" w:bidi="es-AR"/>
        </w:rPr>
        <w:t xml:space="preserve">Registro N°  45 /</w:t>
      </w:r>
      <w:r>
        <w:rPr>
          <w:b/>
          <w:color w:val="000000"/>
          <w:lang w:val="es-AR" w:eastAsia="es-AR" w:bidi="es-AR"/>
        </w:rPr>
        <w:t xml:space="preserve">2019</w:t>
      </w:r>
      <w:r>
        <w:rPr>
          <w:color w:val="000000"/>
          <w:lang w:val="es-AR" w:eastAsia="es-AR" w:bidi="es-AR"/>
        </w:rPr>
        <w:t xml:space="preserve"> </w:t>
      </w:r>
    </w:p>
    <w:p>
      <w:pPr>
        <w:pStyle w:val="[Normal]"/>
        <w:spacing w:line="480" w:lineRule="auto"/>
        <w:ind w:firstLine="1134"/>
        <w:jc w:val="both"/>
        <w:rPr>
          <w:b/>
          <w:lang w:val="es-AR" w:eastAsia="es-AR" w:bidi="es-AR"/>
        </w:rPr>
      </w:pPr>
    </w:p>
    <w:p>
      <w:pPr>
        <w:pStyle w:val="[Normal]"/>
        <w:spacing w:line="480" w:lineRule="auto"/>
        <w:ind w:firstLine="1134"/>
        <w:jc w:val="both"/>
        <w:rPr>
          <w:lang w:val="es-AR" w:eastAsia="es-AR" w:bidi="es-AR"/>
        </w:rPr>
      </w:pPr>
      <w:r>
        <w:rPr>
          <w:b/>
          <w:lang w:val="es-AR" w:eastAsia="es-AR" w:bidi="es-AR"/>
        </w:rPr>
        <w:t xml:space="preserve">Fojas  282/285</w:t>
      </w:r>
    </w:p>
    <w:p>
      <w:pPr>
        <w:pStyle w:val="[Normal]"/>
        <w:spacing w:line="480" w:lineRule="auto"/>
        <w:ind w:firstLine="1134"/>
        <w:jc w:val="both"/>
        <w:rPr>
          <w:lang w:val="es-AR" w:eastAsia="es-AR" w:bidi="es-AR"/>
        </w:rPr>
      </w:pPr>
    </w:p>
    <w:p>
      <w:pPr>
        <w:pStyle w:val="[Normal]"/>
        <w:spacing w:line="480" w:lineRule="auto"/>
        <w:ind w:firstLine="1134"/>
        <w:jc w:val="both"/>
        <w:rPr>
          <w:b/>
          <w:lang w:val="es-AR" w:eastAsia="es-AR" w:bidi="es-AR"/>
        </w:rPr>
      </w:pPr>
      <w:r>
        <w:rPr>
          <w:lang w:val="es-AR" w:eastAsia="es-AR" w:bidi="es-AR"/>
        </w:rPr>
        <w:t xml:space="preserve">En la ciudad de Pergamino, el 11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1942-13</w:t>
      </w:r>
      <w:r>
        <w:rPr>
          <w:lang w:val="es-AR" w:eastAsia="es-AR" w:bidi="es-AR"/>
        </w:rPr>
        <w:t xml:space="preserve"> caratulados </w:t>
      </w:r>
      <w:r>
        <w:rPr>
          <w:b/>
          <w:lang w:val="es-AR" w:eastAsia="es-AR" w:bidi="es-AR"/>
        </w:rPr>
        <w:t xml:space="preserve">"</w:t>
      </w:r>
      <w:r>
        <w:rPr>
          <w:b/>
          <w:color w:val="000000"/>
          <w:lang w:val="es-AR" w:eastAsia="es-AR" w:bidi="es-AR"/>
        </w:rPr>
        <w:t xml:space="preserve">LUELLES, MARIA ISABEL C/ LUELLES, PABLO JOSE Y OTROS S/ SIMULACION</w:t>
      </w:r>
      <w:r>
        <w:rPr>
          <w:b/>
          <w:i/>
          <w:lang w:val="es-AR" w:eastAsia="es-AR" w:bidi="es-AR"/>
        </w:rPr>
        <w:t xml:space="preserve">"</w:t>
      </w:r>
      <w:r>
        <w:rPr>
          <w:lang w:val="es-AR" w:eastAsia="es-AR" w:bidi="es-AR"/>
        </w:rPr>
        <w:t xml:space="preserve">, Expte. N° </w:t>
      </w:r>
      <w:r>
        <w:rPr>
          <w:color w:val="000000"/>
          <w:lang w:val="es-AR" w:eastAsia="es-AR" w:bidi="es-AR"/>
        </w:rPr>
        <w:t xml:space="preserve">-64689-</w:t>
      </w:r>
      <w:r>
        <w:rPr>
          <w:lang w:val="es-AR" w:eastAsia="es-AR" w:bidi="es-AR"/>
        </w:rPr>
        <w:t xml:space="preserve"> del </w:t>
      </w:r>
      <w:r>
        <w:rPr>
          <w:color w:val="000000"/>
          <w:lang w:val="es-AR" w:eastAsia="es-AR" w:bidi="es-AR"/>
        </w:rPr>
        <w:t xml:space="preserve">Juzgado en lo Civil y Comercial N° 1 </w:t>
      </w:r>
      <w:r>
        <w:rPr>
          <w:lang w:val="es-AR" w:eastAsia="es-AR" w:bidi="es-AR"/>
        </w:rPr>
        <w:t xml:space="preserve">Departamental, encontrándose el Dr. </w:t>
      </w:r>
      <w:r>
        <w:rPr>
          <w:color w:val="000000"/>
          <w:lang w:val="es-AR" w:eastAsia="es-AR" w:bidi="es-AR"/>
        </w:rPr>
        <w:t xml:space="preserve">Roberto Degleue </w:t>
      </w:r>
      <w:r>
        <w:rPr>
          <w:lang w:val="es-AR" w:eastAsia="es-AR" w:bidi="es-AR"/>
        </w:rPr>
        <w:t xml:space="preserve">excusado a fs. </w:t>
      </w:r>
      <w:r>
        <w:rPr>
          <w:color w:val="000000"/>
          <w:lang w:val="es-AR" w:eastAsia="es-AR" w:bidi="es-AR"/>
        </w:rPr>
        <w:t xml:space="preserve">1106</w:t>
      </w:r>
      <w:r>
        <w:rPr>
          <w:lang w:val="es-AR" w:eastAsia="es-AR" w:bidi="es-AR"/>
        </w:rPr>
        <w:t xml:space="preserve">, se ordenó la integración de este Tribunal y se practicó el sorteo de ley que determinó que la votación debía efectuarse en el siguiente orden: Dres. </w:t>
      </w:r>
      <w:r>
        <w:rPr>
          <w:color w:val="000000"/>
          <w:lang w:val="es-AR" w:eastAsia="es-AR" w:bidi="es-AR"/>
        </w:rPr>
        <w:t xml:space="preserve">Graciela Scaraffia y Bernardo Louise </w:t>
      </w:r>
      <w:r>
        <w:rPr>
          <w:lang w:val="es-AR" w:eastAsia="es-AR" w:bidi="es-AR"/>
        </w:rPr>
        <w:t xml:space="preserve">estudiados los autos se resolvió plantear y votar las siguientes: </w:t>
      </w:r>
    </w:p>
    <w:p>
      <w:pPr>
        <w:pStyle w:val="[Normal]"/>
        <w:spacing w:line="480" w:lineRule="auto"/>
        <w:ind w:firstLine="1134"/>
        <w:jc w:val="both"/>
        <w:rPr>
          <w:b/>
          <w:color w:val="000000"/>
          <w:lang w:val="es-AR" w:eastAsia="es-AR" w:bidi="es-AR"/>
        </w:rPr>
      </w:pPr>
      <w:r>
        <w:rPr>
          <w:color w:val="000000"/>
          <w:lang w:val="es-AR" w:eastAsia="es-AR" w:bidi="es-AR"/>
        </w:rPr>
        <w:t xml:space="preserve">C U E S T I O N E S:</w:t>
      </w:r>
    </w:p>
    <w:p>
      <w:pPr>
        <w:pStyle w:val="[Normal]"/>
        <w:spacing w:line="480" w:lineRule="auto"/>
        <w:ind w:firstLine="1134"/>
        <w:jc w:val="both"/>
        <w:rPr>
          <w:color w:val="000000"/>
          <w:lang w:val="es-AR" w:eastAsia="es-AR" w:bidi="es-AR"/>
        </w:rPr>
      </w:pPr>
      <w:r>
        <w:rPr>
          <w:color w:val="000000"/>
          <w:lang w:val="es-AR" w:eastAsia="es-AR" w:bidi="es-AR"/>
        </w:rPr>
        <w:t xml:space="preserve">I) ¿ Se ajusta a derecho la sentencia en lo apelado?.</w:t>
      </w:r>
    </w:p>
    <w:p>
      <w:pPr>
        <w:pStyle w:val="[Normal]"/>
        <w:spacing w:line="48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color w:val="000000"/>
          <w:lang w:val="es-AR" w:eastAsia="es-AR" w:bidi="es-AR"/>
        </w:rPr>
        <w:t xml:space="preserve">El Sr. Juez de primera instancia </w:t>
      </w:r>
      <w:r>
        <w:rPr>
          <w:lang w:val="es-AR" w:eastAsia="es-AR" w:bidi="es-AR"/>
        </w:rPr>
        <w:t xml:space="preserve">aprobó la liquidación en la suma de $5.682.600. Aplicó la costas de la tasación judicial realizada a la parte demandada y reguló los honorarios de los letrados y peritos intervinientes. </w:t>
      </w:r>
    </w:p>
    <w:p>
      <w:pPr>
        <w:pStyle w:val="[Normal]"/>
        <w:spacing w:line="480" w:lineRule="auto"/>
        <w:ind w:firstLine="1134"/>
        <w:jc w:val="both"/>
        <w:rPr>
          <w:color w:val="000000"/>
          <w:lang w:val="es-AR" w:eastAsia="es-AR" w:bidi="es-AR"/>
        </w:rPr>
      </w:pPr>
      <w:r>
        <w:rPr>
          <w:color w:val="000000"/>
          <w:lang w:val="es-AR" w:eastAsia="es-AR" w:bidi="es-AR"/>
        </w:rPr>
        <w:t xml:space="preserve">Disconforme con lo decidido apela la actora mediante escrito electrónico de fecha 16-10-2018, el Dr. Juan Manuel Rico Zini el 16-10-2018 y el perito Martillero Rosello Cristian Alberto mediante presentación fecha 16-10-2018, concedidos los recursos en relación a fs. 1240, 1200 y 1200, respectivamente, no habiendo las contrarias contestado el traslado conferido. </w:t>
      </w:r>
    </w:p>
    <w:p>
      <w:pPr>
        <w:pStyle w:val="[Normal]"/>
        <w:spacing w:line="480" w:lineRule="auto"/>
        <w:ind w:firstLine="1134"/>
        <w:jc w:val="both"/>
        <w:rPr>
          <w:color w:val="000000"/>
          <w:lang w:val="es-AR" w:eastAsia="es-AR" w:bidi="es-AR"/>
        </w:rPr>
      </w:pPr>
      <w:r>
        <w:rPr>
          <w:color w:val="000000"/>
          <w:lang w:val="es-AR" w:eastAsia="es-AR" w:bidi="es-AR"/>
        </w:rPr>
        <w:t xml:space="preserve">Elevados los autos, pasan a resolver a fs. 1247, providencia que firme a la fecha deja la causa en condiciones de ser fallada.</w:t>
      </w:r>
    </w:p>
    <w:p>
      <w:pPr>
        <w:pStyle w:val="[Normal]"/>
        <w:spacing w:line="480" w:lineRule="auto"/>
        <w:ind w:firstLine="1134"/>
        <w:jc w:val="both"/>
        <w:rPr>
          <w:color w:val="000000"/>
          <w:lang w:val="es-AR" w:eastAsia="es-AR" w:bidi="es-AR"/>
        </w:rPr>
      </w:pPr>
      <w:r>
        <w:rPr>
          <w:color w:val="000000"/>
          <w:lang w:val="es-AR" w:eastAsia="es-AR" w:bidi="es-AR"/>
        </w:rPr>
        <w:t xml:space="preserve">La actora apela la imposición de costas a su parte de la pericia efectuada a fs. 902/vta. por el perito Carlos Ozafrán. Manifiesta que la sentencia firme del día 11-8-2017 aplica las costas a la parte demandada, por lo que constituye un error lo decidido por el a-quo al respecto. </w:t>
      </w:r>
    </w:p>
    <w:p>
      <w:pPr>
        <w:pStyle w:val="[Normal]"/>
        <w:spacing w:line="480" w:lineRule="auto"/>
        <w:ind w:firstLine="1134"/>
        <w:jc w:val="both"/>
        <w:rPr>
          <w:color w:val="000000"/>
          <w:lang w:val="es-AR" w:eastAsia="es-AR" w:bidi="es-AR"/>
        </w:rPr>
      </w:pPr>
      <w:r>
        <w:rPr>
          <w:color w:val="000000"/>
          <w:lang w:val="es-AR" w:eastAsia="es-AR" w:bidi="es-AR"/>
        </w:rPr>
        <w:t xml:space="preserve">A su turno, la crítica ensayada por el Dr. Rico Zini radica en que la resolución de grado estableció que la determinación de la base regulatoria se efectuara sobre el valor del dolar al tiempo de la presentación del dictamen del perito tasador (escrito electrónico de fecha 11 de Junio de 2018) y su correspondiente aclaratoria (ver escrito electrónico de fecha 24 de agosto de 2018), el que por entonces ascendía a la suma de $25,83 pesos por cada billete norteamericano. Al respecto, el apelante plantea que el monto de la liquidación debió calcularse sobre el tipo de cambio vigente al momento aprobar la misma.</w:t>
      </w:r>
    </w:p>
    <w:p>
      <w:pPr>
        <w:pStyle w:val="[Normal]"/>
        <w:spacing w:line="480" w:lineRule="auto"/>
        <w:ind w:firstLine="1134"/>
        <w:jc w:val="both"/>
        <w:rPr>
          <w:color w:val="000000"/>
          <w:lang w:val="es-AR" w:eastAsia="es-AR" w:bidi="es-AR"/>
        </w:rPr>
      </w:pPr>
      <w:r>
        <w:rPr>
          <w:color w:val="000000"/>
          <w:lang w:val="es-AR" w:eastAsia="es-AR" w:bidi="es-AR"/>
        </w:rPr>
        <w:t xml:space="preserve">En igual sentido se agravia el perito Martillero Cristian Alberto Rosello, quien sostiene que corresponde tener en cuenta el valor de la moneda extrajera al momento de efectuar la regulación de honorarios.</w:t>
      </w:r>
    </w:p>
    <w:p>
      <w:pPr>
        <w:pStyle w:val="[Normal]"/>
        <w:spacing w:line="480" w:lineRule="auto"/>
        <w:ind w:firstLine="1134"/>
        <w:jc w:val="both"/>
        <w:rPr>
          <w:color w:val="000000"/>
          <w:lang w:val="es-AR" w:eastAsia="es-AR" w:bidi="es-AR"/>
        </w:rPr>
      </w:pPr>
      <w:r>
        <w:rPr>
          <w:color w:val="000000"/>
          <w:lang w:val="es-AR" w:eastAsia="es-AR" w:bidi="es-AR"/>
        </w:rPr>
        <w:t xml:space="preserve">Entrando a resolver, y por una cuestión metodológica en primer lugar abordaré los agravios de los recurrentes relativos a la base regulatoria, para luego dar paso al tratamiento relativo a las costas de la tasación realizada por el perito Ozafran. </w:t>
      </w:r>
    </w:p>
    <w:p>
      <w:pPr>
        <w:pStyle w:val="[Normal]"/>
        <w:spacing w:line="480" w:lineRule="auto"/>
        <w:ind w:firstLine="1134"/>
        <w:jc w:val="both"/>
        <w:rPr>
          <w:color w:val="000000"/>
          <w:lang w:val="es-AR" w:eastAsia="es-AR" w:bidi="es-AR"/>
        </w:rPr>
      </w:pPr>
      <w:r>
        <w:rPr>
          <w:color w:val="000000"/>
          <w:lang w:val="es-AR" w:eastAsia="es-AR" w:bidi="es-AR"/>
        </w:rPr>
        <w:t xml:space="preserve">Establecida la cuestión en tales términos, el quid de la revisión judicial ha de centrarse en el momento en que debe computarse el tipo de cambio del dólar en orden a la conversión en pesos del monto relativo al valor de los bienes que integran la base regulatoria.</w:t>
      </w:r>
    </w:p>
    <w:p>
      <w:pPr>
        <w:pStyle w:val="[Normal]"/>
        <w:spacing w:line="480" w:lineRule="auto"/>
        <w:ind w:firstLine="1134"/>
        <w:jc w:val="both"/>
        <w:rPr>
          <w:color w:val="000000"/>
          <w:lang w:val="es-AR" w:eastAsia="es-AR" w:bidi="es-AR"/>
        </w:rPr>
      </w:pPr>
      <w:r>
        <w:rPr>
          <w:color w:val="000000"/>
          <w:lang w:val="es-AR" w:eastAsia="es-AR" w:bidi="es-AR"/>
        </w:rPr>
        <w:t xml:space="preserve">Sobre la presente cuestión, esta Cámara ha tenido oportunidad de pronunciarse en la causa caratulada: "Mas Baeza, Blanca c/ Ferrari, Walter s/ Ejecución Hipotecaria", expte. N° 2784, Reg. 300/2016 a tenor de la cual los magistrados votantes resolvieron que el hito temporal sobre el que debe practicarse la cotización del dólar es el correspondiente al día del auto regulatorio de Primera Instancia: </w:t>
      </w:r>
      <w:r>
        <w:rPr>
          <w:i/>
          <w:color w:val="000000"/>
          <w:lang w:val="es-AR" w:eastAsia="es-AR" w:bidi="es-AR"/>
        </w:rPr>
        <w:t xml:space="preserve">"cuando la base económica de un juicio es en divisa extranjera su conversión en pesos para la regulación de honorarios debe hacerse a la cotización que el mercado oficial señala para el tipo vendedor al día del auto regulatorio de primera instancia (CC0100 SN 11645 I 19/02/2015 JUBA B860476)"</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Tal solución concuerda con lo dispuesto por el art. 27 de la ley 8904: </w:t>
      </w:r>
      <w:r>
        <w:rPr>
          <w:i/>
          <w:color w:val="000000"/>
          <w:lang w:val="es-AR" w:eastAsia="es-AR" w:bidi="es-AR"/>
        </w:rPr>
        <w:t xml:space="preserve">"Cuando se trate de juicios sobre bienes inmuebles o derechos sobre los mismos, si no han sido tasados en autos, se tendrá como cuantía del asunto la valuación fiscal al momento en que se practique la regulación incrementada en el veinte (20) por ciento"</w:t>
      </w:r>
      <w:r>
        <w:rPr>
          <w:color w:val="000000"/>
          <w:lang w:val="es-AR" w:eastAsia="es-AR" w:bidi="es-AR"/>
        </w:rPr>
        <w:t xml:space="preserve">, de cuya literalidad cabe inferir válidamente la voluntad legislativa de vincular la valuación fiscal con el momento en que se practica la regulación, evidenciando una télesis orientada a evitar las distorsiones económicas, financieras o monetarias que puedan suscitarse entre el etapa de valuación de los bienes y la etapa de determinación de la base regulatoria.</w:t>
      </w:r>
    </w:p>
    <w:p>
      <w:pPr>
        <w:pStyle w:val="[Normal]"/>
        <w:spacing w:line="480" w:lineRule="auto"/>
        <w:ind w:firstLine="1134"/>
        <w:jc w:val="both"/>
        <w:rPr>
          <w:color w:val="000000"/>
          <w:lang w:val="es-AR" w:eastAsia="es-AR" w:bidi="es-AR"/>
        </w:rPr>
      </w:pPr>
      <w:r>
        <w:rPr>
          <w:color w:val="000000"/>
          <w:lang w:val="es-AR" w:eastAsia="es-AR" w:bidi="es-AR"/>
        </w:rPr>
        <w:t xml:space="preserve">Y siendo que la cotización del dólar al día 26 de Septiembre de 2018 ascendía a la suma pesos 39,48 por cada dólar norteamericano (https://www.cotizacion-dolar.com.ar/dolar-historico-2018.php), dato que además es de público y notorio conocimiento por lo que se halla exento como objeto de prueba pudiendo ser directamente valorado por la judicatura, he de adoptar dicho tipo de cambio en orden a la determinación del valor en pesos de los bienes valuados en dólares en la tasación que fuera tenida en cuenta por el sentenciante primero en la resolución de fs. 1194/6. Consecuentemente, propongo al acuerdo que alcanzando el valor global de los bienes tasados la suma de U$S 220.000, su correspondiente conversión en pesos al tipo de cambio vendedor de fecha 26 de Septiembre de 2018 ($ 39,48) ha de fijarse la base regulatoria en la suma de $8.685.600.	</w:t>
      </w:r>
    </w:p>
    <w:p>
      <w:pPr>
        <w:pStyle w:val="[Normal]"/>
        <w:spacing w:line="480" w:lineRule="auto"/>
        <w:ind w:firstLine="1134"/>
        <w:jc w:val="both"/>
        <w:rPr>
          <w:color w:val="000000"/>
          <w:lang w:val="es-AR" w:eastAsia="es-AR" w:bidi="es-AR"/>
        </w:rPr>
      </w:pPr>
      <w:r>
        <w:rPr>
          <w:color w:val="000000"/>
          <w:lang w:val="es-AR" w:eastAsia="es-AR" w:bidi="es-AR"/>
        </w:rPr>
        <w:t xml:space="preserve">En virtud de lo expuesto, cabe hacer lugar al agravio vertido por el Dr. Rico Zini y el perito Martillero Rosello y declarar fundado el recurso en relación a la cuestión precedentemente tratada.</w:t>
      </w:r>
    </w:p>
    <w:p>
      <w:pPr>
        <w:pStyle w:val="[Normal]"/>
        <w:spacing w:line="480" w:lineRule="auto"/>
        <w:ind w:firstLine="1134"/>
        <w:jc w:val="both"/>
        <w:rPr>
          <w:color w:val="000000"/>
          <w:lang w:val="es-AR" w:eastAsia="es-AR" w:bidi="es-AR"/>
        </w:rPr>
      </w:pPr>
      <w:r>
        <w:rPr>
          <w:color w:val="000000"/>
          <w:lang w:val="es-AR" w:eastAsia="es-AR" w:bidi="es-AR"/>
        </w:rPr>
        <w:t xml:space="preserve">En punto al agravio relativo a las costas de la pericia de tasación efectuada a fs. 902/vta., anticipo que también debe ser receptado en forma favorable.</w:t>
      </w:r>
    </w:p>
    <w:p>
      <w:pPr>
        <w:pStyle w:val="[Normal]"/>
        <w:spacing w:line="480" w:lineRule="auto"/>
        <w:ind w:firstLine="1134"/>
        <w:jc w:val="both"/>
        <w:rPr>
          <w:color w:val="000000"/>
          <w:lang w:val="es-AR" w:eastAsia="es-AR" w:bidi="es-AR"/>
        </w:rPr>
      </w:pPr>
      <w:r>
        <w:rPr>
          <w:color w:val="000000"/>
          <w:lang w:val="es-AR" w:eastAsia="es-AR" w:bidi="es-AR"/>
        </w:rPr>
        <w:t xml:space="preserve">Amén de lo expuesto por la actora en relación a que las costas del juicio habrían sido impuestas a los demandados perdidosos en la sentencia dictada con fecha 11 de Agosto de 2017, he de ponderar asimismo, como lo hizo el propio Juez de grado, que la estimación propuesta por la parte actora fue la que finalmente sirvió de sustento a la base regulatoria aplicada en el caso concreto.	</w:t>
        <w:br w:type="textWrapping"/>
      </w:r>
      <w:r>
        <w:rPr>
          <w:color w:val="000000"/>
          <w:lang w:val="es-AR" w:eastAsia="es-AR" w:bidi="es-AR"/>
        </w:rPr>
        <w:t xml:space="preserve"> 	Advierto entonces que el apelante no sólo resultó ganancioso a tenor de la sentencia judicial que resolviera el fondo de la relación jurídica procesal controvertida y que motivara en consecuencia la imposición de costas a los codemandados vencidos, sino que además hizo prevalecer su postura en el procedimiento determinativo ulterior que se originó frente a la necesidad de regular los estipendios profesionales. De modo que, por aplicación de la regla general de costas al vencido (art. 68 y 69 del CPCCBA relativos a la cuestión principal e incidental respectivamente), corresponde dejar sin efecto lo decidido en la instancia anterior, haciendo lugar al recurso incoado e imponiendo las costas por tal concepto a los demandados Patricia Alejandra Luelles y Pablo José Luelles.</w:t>
      </w:r>
    </w:p>
    <w:p>
      <w:pPr>
        <w:pStyle w:val="[Normal]"/>
        <w:spacing w:line="480" w:lineRule="auto"/>
        <w:ind w:firstLine="1134"/>
        <w:jc w:val="both"/>
        <w:rPr>
          <w:color w:val="000000"/>
          <w:lang w:val="es-AR" w:eastAsia="es-AR" w:bidi="es-AR"/>
        </w:rPr>
      </w:pPr>
      <w:r>
        <w:rPr>
          <w:color w:val="000000"/>
          <w:shd w:val="clear" w:fill="FFFFFF"/>
          <w:lang w:val="es-AR" w:eastAsia="es-AR" w:bidi="es-AR"/>
        </w:rPr>
        <w:t xml:space="preserve">No se establecen costas en esta instancia</w:t>
      </w:r>
      <w:r>
        <w:rPr>
          <w:color w:val="000000"/>
          <w:lang w:val="es-AR" w:eastAsia="es-AR" w:bidi="es-AR"/>
        </w:rPr>
        <w:t xml:space="preserve"> por cuanto "El procedimiento de regulación de honorarios no constituye juicio contradictorio de índole tal que genere costas por lo que el recurso deducido en aquel y los respectivos trabajos de Alzada no devengan honorarios" (confr. esta Cámara causas N° 577 RSD 37/2011; Nº 1291 RSI 10/2014; N° 2553 RSI 70/2016, ent. ots.).</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48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Bernardo Louise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48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w:t>
      </w:r>
    </w:p>
    <w:p>
      <w:pPr>
        <w:pStyle w:val="[Normal]"/>
        <w:spacing w:line="480" w:lineRule="auto"/>
        <w:ind w:firstLine="1134"/>
        <w:jc w:val="both"/>
        <w:rPr>
          <w:color w:val="000000"/>
          <w:lang w:val="es-AR" w:eastAsia="es-AR" w:bidi="es-AR"/>
        </w:rPr>
      </w:pPr>
      <w:r>
        <w:rPr>
          <w:lang w:val="es-AR" w:eastAsia="es-AR" w:bidi="es-AR"/>
        </w:rPr>
        <w:t xml:space="preserve">Hacer lugar a los recursos de apelación interpuestos </w:t>
      </w:r>
      <w:r>
        <w:rPr>
          <w:color w:val="000000"/>
          <w:lang w:val="es-AR" w:eastAsia="es-AR" w:bidi="es-AR"/>
        </w:rPr>
        <w:t xml:space="preserve">por el Dr. Juan Manuel Rico Zini y el perito Martillero Cristian Alberto Rosello</w:t>
      </w:r>
      <w:r>
        <w:rPr>
          <w:lang w:val="es-AR" w:eastAsia="es-AR" w:bidi="es-AR"/>
        </w:rPr>
        <w:t xml:space="preserve"> y en su mérito revocar en lo pertinente el decisorio atacado, estableciendo a sus efectos, la</w:t>
      </w:r>
      <w:r>
        <w:rPr>
          <w:lang w:val="es-AR" w:eastAsia="es-AR" w:bidi="es-AR"/>
        </w:rPr>
        <w:t xml:space="preserve"> base regulatoria en la suma de $</w:t>
      </w:r>
      <w:r>
        <w:rPr>
          <w:color w:val="000000"/>
          <w:lang w:val="es-AR" w:eastAsia="es-AR" w:bidi="es-AR"/>
        </w:rPr>
        <w:t xml:space="preserve">8.685.600</w:t>
      </w:r>
      <w:r>
        <w:rPr>
          <w:lang w:val="es-AR" w:eastAsia="es-AR" w:bidi="es-AR"/>
        </w:rPr>
        <w:t xml:space="preserve">, debiendo el a-quo en función de la misma, proceder a practicar nueva regulación de honorarios al Dr. Juan Manuel Rico Zini y al perito </w:t>
      </w:r>
      <w:r>
        <w:rPr>
          <w:color w:val="000000"/>
          <w:lang w:val="es-AR" w:eastAsia="es-AR" w:bidi="es-AR"/>
        </w:rPr>
        <w:t xml:space="preserve">Martillero Cristian Alberto Rosello.</w:t>
      </w:r>
    </w:p>
    <w:p>
      <w:pPr>
        <w:pStyle w:val="[Normal]"/>
        <w:spacing w:line="480" w:lineRule="auto"/>
        <w:ind w:firstLine="1134"/>
        <w:jc w:val="both"/>
        <w:rPr>
          <w:color w:val="000000"/>
          <w:lang w:val="es-AR" w:eastAsia="es-AR" w:bidi="es-AR"/>
        </w:rPr>
      </w:pPr>
      <w:r>
        <w:rPr>
          <w:color w:val="000000"/>
          <w:lang w:val="es-AR" w:eastAsia="es-AR" w:bidi="es-AR"/>
        </w:rPr>
        <w:t xml:space="preserve">Hacer lugar al recurso deducido por la actora y en su mérito  modificar las costas de la tasación judicial realizada por el perito Carlos A. Ozafrán, las que se establecen a cargo de los demandados Patricia Alejandra Luelles y Pablo José Luelles (art. 68/9 CPCC).</w:t>
      </w:r>
    </w:p>
    <w:p>
      <w:pPr>
        <w:pStyle w:val="[Normal]"/>
        <w:spacing w:line="480" w:lineRule="auto"/>
        <w:ind w:firstLine="1134"/>
        <w:jc w:val="both"/>
        <w:rPr>
          <w:color w:val="000000"/>
          <w:lang w:val="es-AR" w:eastAsia="es-AR" w:bidi="es-AR"/>
        </w:rPr>
      </w:pPr>
      <w:r>
        <w:rPr>
          <w:color w:val="000000"/>
          <w:lang w:val="es-AR" w:eastAsia="es-AR" w:bidi="es-AR"/>
        </w:rPr>
        <w:t xml:space="preserve">Sin costas en esta instancia (arts. 68/9 </w:t>
      </w:r>
      <w:r>
        <w:rPr>
          <w:i/>
          <w:color w:val="000000"/>
          <w:lang w:val="es-AR" w:eastAsia="es-AR" w:bidi="es-AR"/>
        </w:rPr>
        <w:t xml:space="preserve">a contrario sensu </w:t>
      </w:r>
      <w:r>
        <w:rPr>
          <w:color w:val="000000"/>
          <w:lang w:val="es-AR" w:eastAsia="es-AR" w:bidi="es-AR"/>
        </w:rPr>
        <w:t xml:space="preserve">del CPCC).-</w:t>
      </w:r>
    </w:p>
    <w:p>
      <w:pPr>
        <w:pStyle w:val="[Normal]"/>
        <w:spacing w:line="48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Bernardo Louise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color w:val="000000"/>
          <w:lang w:val="es-AR" w:eastAsia="es-AR" w:bidi="es-AR"/>
        </w:rPr>
      </w:pPr>
      <w:r>
        <w:rPr>
          <w:b/>
          <w:color w:val="000000"/>
          <w:u w:val="single"/>
          <w:lang w:val="es-AR" w:eastAsia="es-AR" w:bidi="es-AR"/>
        </w:rPr>
        <w:t xml:space="preserve">S E N T E N C I A</w:t>
      </w:r>
      <w:r>
        <w:rPr>
          <w:color w:val="000000"/>
          <w:u w:val="single"/>
          <w:lang w:val="es-AR" w:eastAsia="es-AR" w:bidi="es-AR"/>
        </w:rPr>
        <w:t xml:space="preserve">:</w:t>
      </w:r>
    </w:p>
    <w:p>
      <w:pPr>
        <w:pStyle w:val="[Normal]"/>
        <w:spacing w:line="480" w:lineRule="auto"/>
        <w:ind w:firstLine="1134"/>
        <w:jc w:val="both"/>
        <w:rPr>
          <w:color w:val="000000"/>
          <w:lang w:val="es-AR" w:eastAsia="es-AR" w:bidi="es-AR"/>
        </w:rPr>
      </w:pPr>
      <w:r>
        <w:rPr>
          <w:lang w:val="es-AR" w:eastAsia="es-AR" w:bidi="es-AR"/>
        </w:rPr>
        <w:t xml:space="preserve">Hacer lugar a los recursos de apelación interpuestos </w:t>
      </w:r>
      <w:r>
        <w:rPr>
          <w:color w:val="000000"/>
          <w:lang w:val="es-AR" w:eastAsia="es-AR" w:bidi="es-AR"/>
        </w:rPr>
        <w:t xml:space="preserve">por el Dr. Juan Manuel Rico Zini y el perito Martillero Cristian Alberto Rosello</w:t>
      </w:r>
      <w:r>
        <w:rPr>
          <w:lang w:val="es-AR" w:eastAsia="es-AR" w:bidi="es-AR"/>
        </w:rPr>
        <w:t xml:space="preserve"> y en su mérito revocar en lo pertinente el decisorio atacado, estableciendo a sus efectos, la</w:t>
      </w:r>
      <w:r>
        <w:rPr>
          <w:lang w:val="es-AR" w:eastAsia="es-AR" w:bidi="es-AR"/>
        </w:rPr>
        <w:t xml:space="preserve"> base regulatoria en la suma de $</w:t>
      </w:r>
      <w:r>
        <w:rPr>
          <w:color w:val="000000"/>
          <w:lang w:val="es-AR" w:eastAsia="es-AR" w:bidi="es-AR"/>
        </w:rPr>
        <w:t xml:space="preserve">8.685.600</w:t>
      </w:r>
      <w:r>
        <w:rPr>
          <w:lang w:val="es-AR" w:eastAsia="es-AR" w:bidi="es-AR"/>
        </w:rPr>
        <w:t xml:space="preserve">, debiendo el a-quo en función de la misma, proceder a practicar nueva regulación de honorarios al Dr. Juan Manuel Rico Zini y al perito </w:t>
      </w:r>
      <w:r>
        <w:rPr>
          <w:color w:val="000000"/>
          <w:lang w:val="es-AR" w:eastAsia="es-AR" w:bidi="es-AR"/>
        </w:rPr>
        <w:t xml:space="preserve">Martillero Cristian Alberto Rosello.</w:t>
      </w:r>
    </w:p>
    <w:p>
      <w:pPr>
        <w:pStyle w:val="[Normal]"/>
        <w:spacing w:line="480" w:lineRule="auto"/>
        <w:ind w:firstLine="1134"/>
        <w:jc w:val="both"/>
        <w:rPr>
          <w:color w:val="000000"/>
          <w:lang w:val="es-AR" w:eastAsia="es-AR" w:bidi="es-AR"/>
        </w:rPr>
      </w:pPr>
      <w:r>
        <w:rPr>
          <w:color w:val="000000"/>
          <w:lang w:val="es-AR" w:eastAsia="es-AR" w:bidi="es-AR"/>
        </w:rPr>
        <w:t xml:space="preserve">Hacer lugar al recurso deducido por la actora y en su mérito  modificar las costas de la tasación judicial realizada por el perito Carlos A. Ozafrán, las que se establecen a cargo de los demandados Patricia Alejandra Luelles y Pablo José Luelles (art. 68/9 CPCC).</w:t>
      </w:r>
    </w:p>
    <w:p>
      <w:pPr>
        <w:pStyle w:val="[Normal]"/>
        <w:spacing w:line="480" w:lineRule="auto"/>
        <w:ind w:firstLine="1134"/>
        <w:jc w:val="both"/>
        <w:rPr>
          <w:color w:val="000000"/>
          <w:lang w:val="es-AR" w:eastAsia="es-AR" w:bidi="es-AR"/>
        </w:rPr>
      </w:pPr>
      <w:r>
        <w:rPr>
          <w:color w:val="000000"/>
          <w:lang w:val="es-AR" w:eastAsia="es-AR" w:bidi="es-AR"/>
        </w:rPr>
        <w:t xml:space="preserve">Sin costas en esta instancia (arts. 68/9 </w:t>
      </w:r>
      <w:r>
        <w:rPr>
          <w:i/>
          <w:color w:val="000000"/>
          <w:lang w:val="es-AR" w:eastAsia="es-AR" w:bidi="es-AR"/>
        </w:rPr>
        <w:t xml:space="preserve">a contrario sensu </w:t>
      </w:r>
      <w:r>
        <w:rPr>
          <w:color w:val="000000"/>
          <w:lang w:val="es-AR" w:eastAsia="es-AR" w:bidi="es-AR"/>
        </w:rPr>
        <w:t xml:space="preserve">del CPCC).</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                                                                        Graciela SCARAFFIA                                                                                                                               Jueza                                                        </w:t>
      </w:r>
    </w:p>
    <w:p>
      <w:pPr>
        <w:pStyle w:val="[Normal]"/>
        <w:ind w:firstLine="1134"/>
        <w:jc w:val="both"/>
        <w:rPr>
          <w:b/>
          <w:color w:val="000000"/>
          <w:sz w:val="20"/>
          <w:lang w:val="es-AR" w:eastAsia="es-AR" w:bidi="es-AR"/>
        </w:rPr>
      </w:pPr>
      <w:r>
        <w:rPr>
          <w:b/>
          <w:color w:val="000000"/>
          <w:sz w:val="20"/>
          <w:lang w:val="es-AR" w:eastAsia="es-AR" w:bidi="es-AR"/>
        </w:rPr>
        <w:t xml:space="preserve">Bernardo LOUISE  </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Adrian Oscar MOREA</w:t>
      </w:r>
    </w:p>
    <w:p>
      <w:pPr>
        <w:pStyle w:val="[Normal]"/>
        <w:ind w:firstLine="1134"/>
        <w:jc w:val="center"/>
        <w:rPr>
          <w:b/>
          <w:color w:val="000000"/>
          <w:sz w:val="20"/>
          <w:lang w:val="es-AR" w:eastAsia="es-AR" w:bidi="es-AR"/>
        </w:rPr>
      </w:pPr>
      <w:r>
        <w:rPr>
          <w:b/>
          <w:color w:val="000000"/>
          <w:sz w:val="20"/>
          <w:lang w:val="es-AR" w:eastAsia="es-AR" w:bidi="es-AR"/>
        </w:rPr>
        <w:t xml:space="preserve">Auxiliar Letrado</w:t>
      </w:r>
    </w:p>
    <w:p>
      <w:pPr>
        <w:pStyle w:val="[Normal]"/>
        <w:rPr>
          <w:b/>
          <w:color w:val="000000"/>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