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de  mayo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w:t>
      </w:r>
      <w:r>
        <w:rPr>
          <w:b/>
          <w:lang w:val="es-AR" w:eastAsia="es-AR" w:bidi="es-AR"/>
        </w:rPr>
        <w:t xml:space="preserve"> </w:t>
      </w:r>
      <w:r>
        <w:rPr>
          <w:b/>
          <w:color w:val="000000"/>
          <w:lang w:val="es-AR" w:eastAsia="es-AR" w:bidi="es-AR"/>
        </w:rPr>
        <w:t xml:space="preserve">3528-18</w:t>
      </w:r>
      <w:r>
        <w:rPr>
          <w:lang w:val="es-AR" w:eastAsia="es-AR" w:bidi="es-AR"/>
        </w:rPr>
        <w:t xml:space="preserve"> caratulada </w:t>
      </w:r>
      <w:r>
        <w:rPr>
          <w:b/>
          <w:i/>
          <w:lang w:val="es-AR" w:eastAsia="es-AR" w:bidi="es-AR"/>
        </w:rPr>
        <w:t xml:space="preserve">"</w:t>
      </w:r>
      <w:r>
        <w:rPr>
          <w:b/>
          <w:i/>
          <w:color w:val="000000"/>
          <w:lang w:val="es-AR" w:eastAsia="es-AR" w:bidi="es-AR"/>
        </w:rPr>
        <w:t xml:space="preserve">BUCCI, ESTELA ROSARIO C/ TRONCOSO, MARIA ALEJANDRA Y/O Q.R.O S/ DESALOJO</w:t>
      </w:r>
      <w:r>
        <w:rPr>
          <w:b/>
          <w:i/>
          <w:lang w:val="es-AR" w:eastAsia="es-AR" w:bidi="es-AR"/>
        </w:rPr>
        <w:t xml:space="preserve">"</w:t>
      </w:r>
      <w:r>
        <w:rPr>
          <w:lang w:val="es-AR" w:eastAsia="es-AR" w:bidi="es-AR"/>
        </w:rPr>
        <w:t xml:space="preserve">, Expte. </w:t>
      </w:r>
      <w:r>
        <w:rPr>
          <w:color w:val="000000"/>
          <w:lang w:val="es-AR" w:eastAsia="es-AR" w:bidi="es-AR"/>
        </w:rPr>
        <w:t xml:space="preserve">35.719</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Paz de Colón departamental,</w:t>
      </w:r>
      <w:r>
        <w:rPr>
          <w:lang w:val="es-AR" w:eastAsia="es-AR" w:bidi="es-AR"/>
        </w:rPr>
        <w:t xml:space="preserve"> se practicó el sorteo de ley que determinó que la votación debía efectuarse en el siguiente orden: Roberto Manuel Degleue y Graciela Scaraffia,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La señora Juez de la sede anterior falló en las presentes actuaciones, haciendo lugar al allanamiento deducido por María Alejandra Troncoso respecto de la demanda incoada por Estela Rosario Bucci. Desestimó el pedido de plazo para decretar la restitución. Ordenó a la demandada la restitución del inmueble a la actora en el plazo de 10 días de quedar firme la presente, bajo apercibimiento de lanzamiento en caso de incumplimiento, con costas a la demandada. Ordenó librar oficio al Servicio Local informando la existencia de una menor en el inmueble a desalojar, para que tome la intervención que corresponda. </w:t>
      </w:r>
    </w:p>
    <w:p>
      <w:pPr>
        <w:pStyle w:val="[Normal]"/>
        <w:spacing w:line="480" w:lineRule="auto"/>
        <w:ind w:firstLine="1134"/>
        <w:jc w:val="both"/>
        <w:rPr>
          <w:lang w:val="es-AR" w:eastAsia="es-AR" w:bidi="es-AR"/>
        </w:rPr>
      </w:pPr>
      <w:r>
        <w:rPr>
          <w:lang w:val="es-AR" w:eastAsia="es-AR" w:bidi="es-AR"/>
        </w:rPr>
        <w:t xml:space="preserve">Apela a fs. 53 la demandada por derecho propio y en representación de su hija menor C.C., patrocinada por la Dra. Natalia G. Torres, recurso concedido libremente a fs. 54. Elevados los autos se ordena expresar agravios, dando cumplimiento en término mediante presentación electrónica del 12 de febrero de 2019. </w:t>
      </w:r>
    </w:p>
    <w:p>
      <w:pPr>
        <w:pStyle w:val="[Normal]"/>
        <w:spacing w:line="480" w:lineRule="auto"/>
        <w:ind w:firstLine="1134"/>
        <w:jc w:val="both"/>
        <w:rPr>
          <w:lang w:val="es-AR" w:eastAsia="es-AR" w:bidi="es-AR"/>
        </w:rPr>
      </w:pPr>
      <w:r>
        <w:rPr>
          <w:lang w:val="es-AR" w:eastAsia="es-AR" w:bidi="es-AR"/>
        </w:rPr>
        <w:t xml:space="preserve">En su memorial la demandada se agravia primeramente manifestando que la jueza de la anterior instancia dejó de lado el interés superior del Niño y su Derecho a Habitación al no tener en cuenta que el derecho a la vivienda tiene intrínseca relación con el derecho humano a la vida familiar. </w:t>
      </w:r>
    </w:p>
    <w:p>
      <w:pPr>
        <w:pStyle w:val="[Normal]"/>
        <w:spacing w:line="480" w:lineRule="auto"/>
        <w:ind w:firstLine="1134"/>
        <w:jc w:val="both"/>
        <w:rPr>
          <w:lang w:val="es-AR" w:eastAsia="es-AR" w:bidi="es-AR"/>
        </w:rPr>
      </w:pPr>
      <w:r>
        <w:rPr>
          <w:lang w:val="es-AR" w:eastAsia="es-AR" w:bidi="es-AR"/>
        </w:rPr>
        <w:t xml:space="preserve">Así cita la Convención de los Derechos del Niño que </w:t>
      </w:r>
      <w:r>
        <w:rPr>
          <w:i/>
          <w:lang w:val="es-AR" w:eastAsia="es-AR" w:bidi="es-AR"/>
        </w:rPr>
        <w:t xml:space="preserve">"impone a los Estados la obligación de garantizar un hábitat donde desarrollar los derechos reconocidos. Específicamente el art. 27 se refiere a la vivienda y, sin perjuicio de la responsabilidad primaria de los padres, dispone una responsabilidad subsidiaria del Estado. El inciso 3 dice: "Los Estados Partes....adoptarán medidas apropiadas para ayudar a los padres y a otras personas responsables por el niño a dar efectividad a este derecho y, en caso necesario, propiciarán asistencia material y programas de apoyo, particularmente con respecto a la nutrición, el vestuario y la vivienda".</w:t>
      </w:r>
    </w:p>
    <w:p>
      <w:pPr>
        <w:pStyle w:val="[Normal]"/>
        <w:spacing w:line="480" w:lineRule="auto"/>
        <w:ind w:firstLine="1134"/>
        <w:jc w:val="both"/>
        <w:rPr>
          <w:lang w:val="es-AR" w:eastAsia="es-AR" w:bidi="es-AR"/>
        </w:rPr>
      </w:pPr>
      <w:r>
        <w:rPr>
          <w:lang w:val="es-AR" w:eastAsia="es-AR" w:bidi="es-AR"/>
        </w:rPr>
        <w:t xml:space="preserve">Manifiesta que en la casa en cuestión, se halla habitando una adolescente nieta de la actora de quince años y su madre, quienes ingresaron a la vivienda con su autorización y veinte años después pretende desalojar, resultando un caso atípico por lo que solicita un tratamiento "no tan apegado a la letra fría de la ley", sino entrelazado con el Derecho de familia.</w:t>
      </w:r>
    </w:p>
    <w:p>
      <w:pPr>
        <w:pStyle w:val="[Normal]"/>
        <w:spacing w:line="480" w:lineRule="auto"/>
        <w:ind w:firstLine="1134"/>
        <w:jc w:val="both"/>
        <w:rPr>
          <w:lang w:val="es-AR" w:eastAsia="es-AR" w:bidi="es-AR"/>
        </w:rPr>
      </w:pPr>
      <w:r>
        <w:rPr>
          <w:lang w:val="es-AR" w:eastAsia="es-AR" w:bidi="es-AR"/>
        </w:rPr>
        <w:t xml:space="preserve">Se agravia luego respecto a cómo el A-quo consideró el allanamiento vertido en su responde pero sin eximir de costas y además, por cuanto no atendió al requerimiento de plazo para retirarse del inmueble.</w:t>
      </w:r>
    </w:p>
    <w:p>
      <w:pPr>
        <w:pStyle w:val="[Normal]"/>
        <w:spacing w:line="480" w:lineRule="auto"/>
        <w:ind w:firstLine="1134"/>
        <w:jc w:val="both"/>
        <w:rPr>
          <w:lang w:val="es-AR" w:eastAsia="es-AR" w:bidi="es-AR"/>
        </w:rPr>
      </w:pPr>
      <w:r>
        <w:rPr>
          <w:lang w:val="es-AR" w:eastAsia="es-AR" w:bidi="es-AR"/>
        </w:rPr>
        <w:t xml:space="preserve">Esgrime que el inmueble que habitan es su casa, ya que desde el nacimiento de sus hijas que tuviera con el hijo de la actora, "...</w:t>
      </w:r>
      <w:r>
        <w:rPr>
          <w:i/>
          <w:lang w:val="es-AR" w:eastAsia="es-AR" w:bidi="es-AR"/>
        </w:rPr>
        <w:t xml:space="preserve">la menor de autos construyó toda su vida y sus recuerdos incluso con su hermana que ya no se encuentra entre nosotros".</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Manifiesta seguidamente que es por ese motivo que requirió se confiriera un plazo de tres años para retirarse dado que en ese lapso de tiempo su hija, nieta de la actora, se retiraría de la casa para comenzar estudios universitarios, resultando más fácil el desapego y desocupándose así  totalmente.</w:t>
      </w:r>
    </w:p>
    <w:p>
      <w:pPr>
        <w:pStyle w:val="[Normal]"/>
        <w:spacing w:line="480" w:lineRule="auto"/>
        <w:ind w:firstLine="1134"/>
        <w:jc w:val="both"/>
        <w:rPr>
          <w:lang w:val="es-AR" w:eastAsia="es-AR" w:bidi="es-AR"/>
        </w:rPr>
      </w:pPr>
      <w:r>
        <w:rPr>
          <w:lang w:val="es-AR" w:eastAsia="es-AR" w:bidi="es-AR"/>
        </w:rPr>
        <w:t xml:space="preserve">Por último se agravia ante un proceso judicial que afirma no se ajusta a la verdad de los hechos pues la actora dice contar con un </w:t>
      </w:r>
      <w:r>
        <w:rPr>
          <w:i/>
          <w:lang w:val="es-AR" w:eastAsia="es-AR" w:bidi="es-AR"/>
        </w:rPr>
        <w:t xml:space="preserve">"título perfecto del bien" </w:t>
      </w:r>
      <w:r>
        <w:rPr>
          <w:lang w:val="es-AR" w:eastAsia="es-AR" w:bidi="es-AR"/>
        </w:rPr>
        <w:t xml:space="preserve">y solo cuenta con un boleto de compra venta.</w:t>
      </w:r>
    </w:p>
    <w:p>
      <w:pPr>
        <w:pStyle w:val="[Normal]"/>
        <w:spacing w:line="480" w:lineRule="auto"/>
        <w:ind w:firstLine="1134"/>
        <w:jc w:val="both"/>
        <w:rPr>
          <w:lang w:val="es-AR" w:eastAsia="es-AR" w:bidi="es-AR"/>
        </w:rPr>
      </w:pPr>
      <w:r>
        <w:rPr>
          <w:lang w:val="es-AR" w:eastAsia="es-AR" w:bidi="es-AR"/>
        </w:rPr>
        <w:t xml:space="preserve">Cita doctrina y jurisprudencia en apoyo a su postura.</w:t>
      </w:r>
    </w:p>
    <w:p>
      <w:pPr>
        <w:pStyle w:val="[Normal]"/>
        <w:spacing w:line="480" w:lineRule="auto"/>
        <w:ind w:firstLine="1134"/>
        <w:jc w:val="both"/>
        <w:rPr>
          <w:b/>
          <w:lang w:val="es-AR" w:eastAsia="es-AR" w:bidi="es-AR"/>
        </w:rPr>
      </w:pPr>
      <w:r>
        <w:rPr>
          <w:lang w:val="es-AR" w:eastAsia="es-AR" w:bidi="es-AR"/>
        </w:rPr>
        <w:t xml:space="preserve">Peticiona se haga lugar al recurso de apelación interpuesto y  se tenga presente la reserva de Caso Federal formulada.</w:t>
      </w:r>
    </w:p>
    <w:p>
      <w:pPr>
        <w:pStyle w:val="[Normal]"/>
        <w:spacing w:line="480" w:lineRule="auto"/>
        <w:ind w:firstLine="1134"/>
        <w:jc w:val="both"/>
        <w:rPr>
          <w:b/>
          <w:lang w:val="es-AR" w:eastAsia="es-AR" w:bidi="es-AR"/>
        </w:rPr>
      </w:pPr>
      <w:r>
        <w:rPr>
          <w:lang w:val="es-AR" w:eastAsia="es-AR" w:bidi="es-AR"/>
        </w:rPr>
        <w:t xml:space="preserve">Conferido el traslado pertinente, fue contestado por la actora a fs. 63/5. Refuta los argumentos de la contraria y solicita se confirme la sentencia apelada, con expresa imposición de costas. </w:t>
      </w:r>
    </w:p>
    <w:p>
      <w:pPr>
        <w:pStyle w:val="[Normal]"/>
        <w:spacing w:line="480" w:lineRule="auto"/>
        <w:ind w:firstLine="1134"/>
        <w:jc w:val="both"/>
        <w:rPr>
          <w:lang w:val="es-AR" w:eastAsia="es-AR" w:bidi="es-AR"/>
        </w:rPr>
      </w:pPr>
      <w:r>
        <w:rPr>
          <w:lang w:val="es-AR" w:eastAsia="es-AR" w:bidi="es-AR"/>
        </w:rPr>
        <w:t xml:space="preserve">A fs. 65 se dictó el llamamiento de autos, que habiendo adquirido firmeza, deja la causa en condiciones de ser fallada.</w:t>
      </w:r>
    </w:p>
    <w:p>
      <w:pPr>
        <w:pStyle w:val="[Normal]"/>
        <w:spacing w:line="480" w:lineRule="auto"/>
        <w:ind w:firstLine="1134"/>
        <w:jc w:val="both"/>
        <w:rPr>
          <w:lang w:val="es-AR" w:eastAsia="es-AR" w:bidi="es-AR"/>
        </w:rPr>
      </w:pPr>
      <w:r>
        <w:rPr>
          <w:lang w:val="es-AR" w:eastAsia="es-AR" w:bidi="es-AR"/>
        </w:rPr>
        <w:t xml:space="preserve">Entrando al análisis de la apelación deducida, entiendo que no puede prosperar. En primer lugar en tanto que la apelante claramente se allanó a la demanda de desalojo incoada, habiendo reconocido en forma expresa en su contestación, la calidad de propietaria de la accionante (ver Fs. 20Vta. punto III), pero condicionó su postura procesal a la posibilidad de tener un tiempo para retirarse de la propiedad.</w:t>
      </w:r>
    </w:p>
    <w:p>
      <w:pPr>
        <w:pStyle w:val="[Normal]"/>
        <w:spacing w:line="480" w:lineRule="auto"/>
        <w:ind w:firstLine="1134"/>
        <w:jc w:val="both"/>
        <w:rPr>
          <w:lang w:val="es-AR" w:eastAsia="es-AR" w:bidi="es-AR"/>
        </w:rPr>
      </w:pPr>
      <w:r>
        <w:rPr>
          <w:lang w:val="es-AR" w:eastAsia="es-AR" w:bidi="es-AR"/>
        </w:rPr>
        <w:t xml:space="preserve">Es decir que el acto de reconocimiento del derecho esgrimido por la actora, no ha tenido el carácter incondicionado requerido por el ordenamiento procesal para eximir a su parte de las costas,  siendo correcta en consecuencia la imposición de las mismas  (Art. 70 "in fine " del C.P.C. y C.).-</w:t>
      </w:r>
    </w:p>
    <w:p>
      <w:pPr>
        <w:pStyle w:val="[Normal]"/>
        <w:spacing w:line="480" w:lineRule="auto"/>
        <w:ind w:firstLine="1134"/>
        <w:jc w:val="both"/>
        <w:rPr>
          <w:lang w:val="es-AR" w:eastAsia="es-AR" w:bidi="es-AR"/>
        </w:rPr>
      </w:pPr>
      <w:r>
        <w:rPr>
          <w:lang w:val="es-AR" w:eastAsia="es-AR" w:bidi="es-AR"/>
        </w:rPr>
        <w:t xml:space="preserve">A su vez, el desconocimiento en esta instancia del derecho de propiedad en cabeza de la accionante, como deja entrever en el cuarto agravio, se contrapone con la teoría de los propios actos, en tanto que tal derecho fue expresamente reconocido al contestar demanda, concretamente la ahora apelante dijo: "...</w:t>
      </w:r>
      <w:r>
        <w:rPr>
          <w:i/>
          <w:lang w:val="es-AR" w:eastAsia="es-AR" w:bidi="es-AR"/>
        </w:rPr>
        <w:t xml:space="preserve"> me allano a la pretensión de la actora por RECONOCER su derecho sobre la propiedad</w:t>
      </w:r>
      <w:r>
        <w:rPr>
          <w:lang w:val="es-AR" w:eastAsia="es-AR" w:bidi="es-AR"/>
        </w:rPr>
        <w:t xml:space="preserve">..."  (véase al efecto Fs.  19 Vta. punto III. CONTESTA DEMANDA".-</w:t>
      </w:r>
    </w:p>
    <w:p>
      <w:pPr>
        <w:pStyle w:val="[Normal]"/>
        <w:spacing w:line="480" w:lineRule="auto"/>
        <w:ind w:firstLine="1134"/>
        <w:jc w:val="both"/>
        <w:rPr>
          <w:lang w:val="es-AR" w:eastAsia="es-AR" w:bidi="es-AR"/>
        </w:rPr>
      </w:pPr>
      <w:r>
        <w:rPr>
          <w:lang w:val="es-AR" w:eastAsia="es-AR" w:bidi="es-AR"/>
        </w:rPr>
        <w:t xml:space="preserve">Tal proceder encuentra un límite infranqueable en el principio de buena fe (art. 9 del C.C.yC.) a partir del cual se funda la doctrina de los actos propios cuya lógica determina que: "</w:t>
      </w:r>
      <w:r>
        <w:rPr>
          <w:i/>
          <w:lang w:val="es-AR" w:eastAsia="es-AR" w:bidi="es-AR"/>
        </w:rPr>
        <w:t xml:space="preserve">Nadie puede ponerse en contradicción con sus propios actos, ejerciendo una conducta incompatible con una anterior deliberada, jurídicamente relevante y plenamente eficaz</w:t>
      </w:r>
      <w:r>
        <w:rPr>
          <w:lang w:val="es-AR" w:eastAsia="es-AR" w:bidi="es-AR"/>
        </w:rPr>
        <w:t xml:space="preserve">" (v. SCBA, "Carpinetti, Raúl Jorge c/Fisco de la Prov. de Buenos Aires s/Daños y perjuicios", 17/06/1993). </w:t>
      </w:r>
      <w:r>
        <w:rPr>
          <w:i/>
          <w:lang w:val="es-AR" w:eastAsia="es-AR" w:bidi="es-AR"/>
        </w:rPr>
        <w:t xml:space="preserve">La consecuencia sistémica que deriva de ello es la desestimación del motivo de queja esgrimido en violación al mentado principio</w:t>
      </w:r>
      <w:r>
        <w:rPr>
          <w:lang w:val="es-AR" w:eastAsia="es-AR" w:bidi="es-AR"/>
        </w:rPr>
        <w:t xml:space="preserve"> (conf. CAP causas Nº 1962. RSD 84/2013 del 26-8-14, Nº 1426 RSD 181/2012 del 14/8-2014, N° 2959 del 20-12-2018 RSD 199/2018, entre otras).-</w:t>
      </w:r>
    </w:p>
    <w:p>
      <w:pPr>
        <w:pStyle w:val="[Normal]"/>
        <w:spacing w:line="480" w:lineRule="auto"/>
        <w:ind w:firstLine="1134"/>
        <w:jc w:val="both"/>
        <w:rPr>
          <w:lang w:val="es-AR" w:eastAsia="es-AR" w:bidi="es-AR"/>
        </w:rPr>
      </w:pPr>
      <w:r>
        <w:rPr>
          <w:lang w:val="es-AR" w:eastAsia="es-AR" w:bidi="es-AR"/>
        </w:rPr>
        <w:t xml:space="preserve">Tampoco corresponde modificar lo decidido, con fundamento en los derechos de la hija menor de la accionada, a una vivienda y al deber alimentario de la actora, abuela de la niña, situación que fuera tratada por la juez de grado, quien señalara que excede el ámbito de este expediente de desalojo. En dicho orden expresó que admitir tal planteo en autos "... </w:t>
      </w:r>
      <w:r>
        <w:rPr>
          <w:i/>
          <w:lang w:val="es-AR" w:eastAsia="es-AR" w:bidi="es-AR"/>
        </w:rPr>
        <w:t xml:space="preserve">implicaría resolver sobre una cuestión que no constituye su objeto y por ende se violaría el principio de congruencia, en derecho de defensa y debido proceso que asiste a la actora -art 8 C.A.D.H, art 18 y 75 inc 22 Const Nacional, art 163 inc 5 del C.P.C.C.-, lo cual resulta inadmisible debiendo plantearse a todo evento en causa separada con el cumplimiento de las garantías citadas. Por la misma cuestión antes esgrimida es que no se integró la litis con el progenitor de la niña, en tanto no es éste el ámbito donde debe sustanciarse la cuestión alimentaria conforme los términos en que quedó trabada la litis</w:t>
      </w:r>
      <w:r>
        <w:rPr>
          <w:lang w:val="es-AR" w:eastAsia="es-AR" w:bidi="es-AR"/>
        </w:rPr>
        <w:t xml:space="preserve">.". Comparto el criterio expuesto. no habiendo la apelante brindado fundamento alguno que sustente la modificación de los decidido.</w:t>
      </w:r>
    </w:p>
    <w:p>
      <w:pPr>
        <w:pStyle w:val="[Normal]"/>
        <w:spacing w:line="480" w:lineRule="auto"/>
        <w:ind w:firstLine="1134"/>
        <w:jc w:val="both"/>
        <w:rPr>
          <w:lang w:val="es-AR" w:eastAsia="es-AR" w:bidi="es-AR"/>
        </w:rPr>
      </w:pPr>
      <w:r>
        <w:rPr>
          <w:lang w:val="es-AR" w:eastAsia="es-AR" w:bidi="es-AR"/>
        </w:rPr>
        <w:t xml:space="preserve">Es más, la Jueza de grado en orden a los intereses de la menor, y desde la órbita de su protección por parte del Estado, dispuso se informe de las circunstancias de autos, al Servicio Local de Promoción y Protección Integral de los Derechos de los Niños, para que tome la intervención correspondiente. Es que la ley 13.298 (art. 18) contempla la intervención de tales organismos en supuestos como el presente, en concordancia con la normativa de aplicación en la materia (Convención de los Derechos del Niño y legislación vigente, arts. 1 y 2 ley citada).</w:t>
      </w:r>
    </w:p>
    <w:p>
      <w:pPr>
        <w:pStyle w:val="[Normal]"/>
        <w:spacing w:line="480" w:lineRule="auto"/>
        <w:ind w:firstLine="1134"/>
        <w:jc w:val="both"/>
        <w:rPr>
          <w:lang w:val="es-AR" w:eastAsia="es-AR" w:bidi="es-AR"/>
        </w:rPr>
      </w:pPr>
      <w:r>
        <w:rPr>
          <w:lang w:val="es-AR" w:eastAsia="es-AR" w:bidi="es-AR"/>
        </w:rPr>
        <w:t xml:space="preserve">Por último, en lo que hace al plazo para desalojar el bien que solicitara la accionada al contestar la demanda, no fue acogida la petición, destacando la Sra. Magistrada en su pronunciamiento, el paso del tiempo desde que se incoara la demanda, es decir, de hecho se aprecia que del plazo pretendido por la demandada, ha transcurrido a la fecha más de un año y medio, y ha sido ponderada en tal sentido la situación de  vulnerabilidad de la actora por su edad avanzada.</w:t>
      </w:r>
    </w:p>
    <w:p>
      <w:pPr>
        <w:pStyle w:val="[Normal]"/>
        <w:spacing w:line="480" w:lineRule="auto"/>
        <w:ind w:firstLine="1134"/>
        <w:jc w:val="both"/>
        <w:rPr>
          <w:color w:val="000000"/>
          <w:lang w:val="es-AR" w:eastAsia="es-AR" w:bidi="es-AR"/>
        </w:rPr>
      </w:pPr>
      <w:r>
        <w:rPr>
          <w:color w:val="000000"/>
          <w:lang w:val="es-AR" w:eastAsia="es-AR" w:bidi="es-AR"/>
        </w:rPr>
        <w:t xml:space="preserve">Por las razones dadas y citas legales de referencia.</w:t>
      </w:r>
    </w:p>
    <w:p>
      <w:pPr>
        <w:pStyle w:val="[Normal]"/>
        <w:spacing w:line="480" w:lineRule="auto"/>
        <w:ind w:firstLine="1134"/>
        <w:jc w:val="both"/>
        <w:rPr>
          <w:color w:val="000000"/>
          <w:lang w:val="es-AR" w:eastAsia="es-AR" w:bidi="es-AR"/>
        </w:rPr>
      </w:pPr>
      <w:r>
        <w:rPr>
          <w:color w:val="000000"/>
          <w:lang w:val="es-AR" w:eastAsia="es-AR" w:bidi="es-AR"/>
        </w:rPr>
        <w:t xml:space="preserve">VOTO POR LA AFIRMATIVA.</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color w:val="000000"/>
          <w:lang w:val="es-AR" w:eastAsia="es-AR" w:bidi="es-AR"/>
        </w:rPr>
        <w:t xml:space="preserve">A la segunda cuestión el señor Juez Roberto Manuel Degleue dijo: de conformidad al resultado habido al tratarse la cuestión precedente, estimo que el pronunciamiento que corresponde dictar es:</w:t>
      </w:r>
      <w:r>
        <w:rPr>
          <w:lang w:val="es-AR" w:eastAsia="es-AR" w:bidi="es-AR"/>
        </w:rPr>
        <w:t xml:space="preserve"> Desestimar el recurso de apelación deducido, y en consecuencia confirmar la sentencia atacada en cuanto fuera materia de agravio. </w:t>
      </w:r>
    </w:p>
    <w:p>
      <w:pPr>
        <w:pStyle w:val="[Normal]"/>
        <w:spacing w:line="480" w:lineRule="auto"/>
        <w:ind w:firstLine="1134"/>
        <w:jc w:val="both"/>
        <w:rPr>
          <w:lang w:val="es-AR" w:eastAsia="es-AR" w:bidi="es-AR"/>
        </w:rPr>
      </w:pPr>
      <w:r>
        <w:rPr>
          <w:lang w:val="es-AR" w:eastAsia="es-AR" w:bidi="es-AR"/>
        </w:rPr>
        <w:t xml:space="preserve">Tener presente la reserva de caso federal efectuada a fs. 59.</w:t>
      </w:r>
    </w:p>
    <w:p>
      <w:pPr>
        <w:pStyle w:val="[Normal]"/>
        <w:spacing w:line="480" w:lineRule="auto"/>
        <w:ind w:firstLine="1134"/>
        <w:jc w:val="both"/>
        <w:rPr>
          <w:lang w:val="es-AR" w:eastAsia="es-AR" w:bidi="es-AR"/>
        </w:rPr>
      </w:pPr>
      <w:r>
        <w:rPr>
          <w:lang w:val="es-AR" w:eastAsia="es-AR" w:bidi="es-AR"/>
        </w:rPr>
        <w:t xml:space="preserve">Costas de Alzada a la apelante vencida (art. 68 y 69 C.P.C.).</w:t>
      </w:r>
    </w:p>
    <w:p>
      <w:pPr>
        <w:pStyle w:val="[Normal]"/>
        <w:spacing w:line="480" w:lineRule="auto"/>
        <w:ind w:firstLine="1134"/>
        <w:jc w:val="both"/>
        <w:rPr>
          <w:color w:val="000000"/>
          <w:lang w:val="es-AR" w:eastAsia="es-AR" w:bidi="es-AR"/>
        </w:rPr>
      </w:pPr>
      <w:r>
        <w:rPr>
          <w:lang w:val="es-AR" w:eastAsia="es-AR" w:bidi="es-AR"/>
        </w:rPr>
        <w:t xml:space="preserve">Diferir la regulación de honorarios para cuando exista base para ello (art. 31 ley arancelaria).</w:t>
      </w:r>
    </w:p>
    <w:p>
      <w:pPr>
        <w:pStyle w:val="[Normal]"/>
        <w:spacing w:line="480" w:lineRule="auto"/>
        <w:ind w:firstLine="1134"/>
        <w:jc w:val="both"/>
        <w:rPr>
          <w:color w:val="000000"/>
          <w:lang w:val="es-AR" w:eastAsia="es-AR" w:bidi="es-AR"/>
        </w:rPr>
      </w:pPr>
      <w:r>
        <w:rPr>
          <w:color w:val="000000"/>
          <w:lang w:val="es-AR" w:eastAsia="es-AR" w:bidi="es-AR"/>
        </w:rPr>
        <w:t xml:space="preserve">ASI LO VOTO. </w:t>
      </w:r>
    </w:p>
    <w:p>
      <w:pPr>
        <w:pStyle w:val="[Normal]"/>
        <w:spacing w:line="480" w:lineRule="auto"/>
        <w:ind w:firstLine="1134"/>
        <w:jc w:val="both"/>
        <w:rPr>
          <w:color w:val="000000"/>
          <w:lang w:val="es-AR" w:eastAsia="es-AR" w:bidi="es-AR"/>
        </w:rPr>
      </w:pPr>
      <w:r>
        <w:rPr>
          <w:color w:val="000000"/>
          <w:lang w:val="es-AR" w:eastAsia="es-AR" w:bidi="es-AR"/>
        </w:rPr>
        <w:t xml:space="preserve">A la misma cuestión la señora Jueza Graciela Scaraffia por análogos fundamentos votó en el mismo sentido.-</w:t>
      </w:r>
    </w:p>
    <w:p>
      <w:pPr>
        <w:pStyle w:val="[Normal]"/>
        <w:spacing w:line="48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480" w:lineRule="auto"/>
        <w:ind w:firstLine="1134"/>
        <w:jc w:val="both"/>
        <w:rPr>
          <w:b/>
          <w:color w:val="000000"/>
          <w:u w:val="single"/>
          <w:lang w:val="es-AR" w:eastAsia="es-AR" w:bidi="es-AR"/>
        </w:rPr>
      </w:pPr>
      <w:r>
        <w:rPr>
          <w:b/>
          <w:color w:val="000000"/>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Desestimar el recurso de apelación deducido, y en consecuencia confirmar la sentencia atacada en cuanto fuera materia de agravio. </w:t>
      </w:r>
    </w:p>
    <w:p>
      <w:pPr>
        <w:pStyle w:val="[Normal]"/>
        <w:spacing w:line="480" w:lineRule="auto"/>
        <w:ind w:firstLine="1134"/>
        <w:jc w:val="both"/>
        <w:rPr>
          <w:lang w:val="es-AR" w:eastAsia="es-AR" w:bidi="es-AR"/>
        </w:rPr>
      </w:pPr>
      <w:r>
        <w:rPr>
          <w:lang w:val="es-AR" w:eastAsia="es-AR" w:bidi="es-AR"/>
        </w:rPr>
        <w:t xml:space="preserve">Tener presente la reserva de caso federal efectuada a fs. 59.</w:t>
      </w:r>
    </w:p>
    <w:p>
      <w:pPr>
        <w:pStyle w:val="[Normal]"/>
        <w:spacing w:line="480" w:lineRule="auto"/>
        <w:ind w:firstLine="1134"/>
        <w:jc w:val="both"/>
        <w:rPr>
          <w:lang w:val="es-AR" w:eastAsia="es-AR" w:bidi="es-AR"/>
        </w:rPr>
      </w:pPr>
      <w:r>
        <w:rPr>
          <w:lang w:val="es-AR" w:eastAsia="es-AR" w:bidi="es-AR"/>
        </w:rPr>
        <w:t xml:space="preserve">Costas de Alzada a la apelante vencida (art. 68 y 69 C.P.C.).</w:t>
      </w:r>
    </w:p>
    <w:p>
      <w:pPr>
        <w:pStyle w:val="[Normal]"/>
        <w:spacing w:line="480" w:lineRule="auto"/>
        <w:ind w:firstLine="1134"/>
        <w:jc w:val="both"/>
        <w:rPr>
          <w:b/>
          <w:color w:val="000000"/>
          <w:u w:val="single"/>
          <w:lang w:val="es-AR" w:eastAsia="es-AR" w:bidi="es-AR"/>
        </w:rPr>
      </w:pPr>
      <w:r>
        <w:rPr>
          <w:lang w:val="es-AR" w:eastAsia="es-AR" w:bidi="es-AR"/>
        </w:rPr>
        <w:t xml:space="preserve">Diferir la regulación de honorarios para cuando exista base para ello (art. 31 ley arancelaria).</w:t>
      </w:r>
    </w:p>
    <w:p>
      <w:pPr>
        <w:pStyle w:val="[Normal]"/>
        <w:spacing w:line="480" w:lineRule="auto"/>
        <w:ind w:firstLine="1134"/>
        <w:jc w:val="both"/>
        <w:rPr>
          <w:color w:val="000000"/>
          <w:lang w:val="es-AR" w:eastAsia="es-AR" w:bidi="es-AR"/>
        </w:rPr>
      </w:pPr>
      <w:r>
        <w:rPr>
          <w:lang w:val="es-AR" w:eastAsia="es-AR" w:bidi="es-AR"/>
        </w:rPr>
        <w:t xml:space="preserve">R</w:t>
      </w:r>
      <w:r>
        <w:rPr>
          <w:color w:val="000000"/>
          <w:lang w:val="es-AR" w:eastAsia="es-AR" w:bidi="es-AR"/>
        </w:rPr>
        <w:t xml:space="preserve">egístrese. Notifíquese. Devuélvase.-</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                                </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                                   Roberto Manuel Degleue</w:t>
      </w:r>
    </w:p>
    <w:p>
      <w:pPr>
        <w:pStyle w:val="[Normal]"/>
        <w:ind w:firstLine="1134"/>
        <w:jc w:val="both"/>
        <w:rPr>
          <w:b/>
          <w:color w:val="000000"/>
          <w:sz w:val="18"/>
          <w:lang w:val="es-AR" w:eastAsia="es-AR" w:bidi="es-AR"/>
        </w:rPr>
      </w:pPr>
      <w:r>
        <w:rPr>
          <w:b/>
          <w:color w:val="000000"/>
          <w:sz w:val="18"/>
          <w:lang w:val="es-AR" w:eastAsia="es-AR" w:bidi="es-AR"/>
        </w:rPr>
        <w:t xml:space="preserve">                                                Presidente</w:t>
      </w:r>
    </w:p>
    <w:p>
      <w:pPr>
        <w:pStyle w:val="[Normal]"/>
        <w:ind w:firstLine="1134"/>
        <w:jc w:val="both"/>
        <w:rPr>
          <w:b/>
          <w:color w:val="000000"/>
          <w:sz w:val="18"/>
          <w:lang w:val="es-AR" w:eastAsia="es-AR" w:bidi="es-AR"/>
        </w:rPr>
      </w:pPr>
      <w:r>
        <w:rPr>
          <w:b/>
          <w:color w:val="000000"/>
          <w:sz w:val="18"/>
          <w:lang w:val="es-AR" w:eastAsia="es-AR" w:bidi="es-AR"/>
        </w:rPr>
        <w:t xml:space="preserve">               Cámara de Apelación  en lo Civil y Comercial </w:t>
      </w:r>
    </w:p>
    <w:p>
      <w:pPr>
        <w:pStyle w:val="[Normal]"/>
        <w:ind w:firstLine="1134"/>
        <w:jc w:val="both"/>
        <w:rPr>
          <w:b/>
          <w:color w:val="000000"/>
          <w:sz w:val="18"/>
          <w:lang w:val="es-AR" w:eastAsia="es-AR" w:bidi="es-AR"/>
        </w:rPr>
      </w:pPr>
      <w:r>
        <w:rPr>
          <w:b/>
          <w:color w:val="000000"/>
          <w:sz w:val="18"/>
          <w:lang w:val="es-AR" w:eastAsia="es-AR" w:bidi="es-AR"/>
        </w:rPr>
        <w:t xml:space="preserve">                                     Dpto. Judicial Pergamino </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 Graciela Scaraffia                                     </w:t>
      </w:r>
    </w:p>
    <w:p>
      <w:pPr>
        <w:pStyle w:val="[Normal]"/>
        <w:ind w:firstLine="1134"/>
        <w:jc w:val="both"/>
        <w:rPr>
          <w:b/>
          <w:color w:val="000000"/>
          <w:sz w:val="18"/>
          <w:lang w:val="es-AR" w:eastAsia="es-AR" w:bidi="es-AR"/>
        </w:rPr>
      </w:pPr>
      <w:r>
        <w:rPr>
          <w:b/>
          <w:color w:val="000000"/>
          <w:sz w:val="18"/>
          <w:lang w:val="es-AR" w:eastAsia="es-AR" w:bidi="es-AR"/>
        </w:rPr>
        <w:t xml:space="preserve">            Jueza</w:t>
      </w:r>
    </w:p>
    <w:p>
      <w:pPr>
        <w:pStyle w:val="[Normal]"/>
        <w:ind w:firstLine="1134"/>
        <w:jc w:val="both"/>
        <w:rPr>
          <w:b/>
          <w:color w:val="000000"/>
          <w:sz w:val="18"/>
          <w:lang w:val="es-AR" w:eastAsia="es-AR" w:bidi="es-AR"/>
        </w:rPr>
      </w:pPr>
      <w:r>
        <w:rPr>
          <w:b/>
          <w:color w:val="000000"/>
          <w:sz w:val="18"/>
          <w:lang w:val="es-AR" w:eastAsia="es-AR" w:bidi="es-AR"/>
        </w:rPr>
        <w:t xml:space="preserve">                                                                                                       </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                  </w:t>
      </w:r>
    </w:p>
    <w:p>
      <w:pPr>
        <w:pStyle w:val="[Normal]"/>
        <w:ind w:firstLine="1134"/>
        <w:jc w:val="both"/>
        <w:rPr>
          <w:b/>
          <w:color w:val="000000"/>
          <w:sz w:val="18"/>
          <w:lang w:val="es-AR" w:eastAsia="es-AR" w:bidi="es-AR"/>
        </w:rPr>
      </w:pPr>
      <w:r>
        <w:rPr>
          <w:b/>
          <w:color w:val="000000"/>
          <w:sz w:val="18"/>
          <w:lang w:val="es-AR" w:eastAsia="es-AR" w:bidi="es-AR"/>
        </w:rPr>
        <w:t xml:space="preserve">                                       </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                                      Luis Maria Bianco</w:t>
      </w:r>
    </w:p>
    <w:p>
      <w:pPr>
        <w:pStyle w:val="[Normal]"/>
        <w:ind w:firstLine="1134"/>
        <w:jc w:val="both"/>
        <w:rPr>
          <w:b/>
          <w:color w:val="000000"/>
          <w:sz w:val="18"/>
          <w:lang w:val="es-AR" w:eastAsia="es-AR" w:bidi="es-AR"/>
        </w:rPr>
      </w:pPr>
      <w:r>
        <w:rPr>
          <w:b/>
          <w:color w:val="000000"/>
          <w:sz w:val="18"/>
          <w:lang w:val="es-AR" w:eastAsia="es-AR" w:bidi="es-AR"/>
        </w:rPr>
        <w:t xml:space="preserve">                                       Auxiliar Letrado</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rPr>
          <w:b/>
          <w:color w:val="000000"/>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