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42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260/264</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11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3324-18</w:t>
      </w:r>
      <w:r>
        <w:rPr>
          <w:lang w:val="es-AR" w:eastAsia="es-AR" w:bidi="es-AR"/>
        </w:rPr>
        <w:t xml:space="preserve"> caratulada </w:t>
      </w:r>
      <w:r>
        <w:rPr>
          <w:b/>
          <w:i/>
          <w:lang w:val="es-AR" w:eastAsia="es-AR" w:bidi="es-AR"/>
        </w:rPr>
        <w:t xml:space="preserve">"</w:t>
      </w:r>
      <w:r>
        <w:rPr>
          <w:b/>
          <w:i/>
          <w:color w:val="000000"/>
          <w:lang w:val="es-AR" w:eastAsia="es-AR" w:bidi="es-AR"/>
        </w:rPr>
        <w:t xml:space="preserve">SANCHEZ RUIZ, ANTONIO RODOLFO C/UROZ, JOSÉ RAMÓN Y OTROS S/ DESALOJO (EXCEPTO POR FALTA DE PAGO)(114)</w:t>
      </w:r>
      <w:r>
        <w:rPr>
          <w:b/>
          <w:i/>
          <w:lang w:val="es-AR" w:eastAsia="es-AR" w:bidi="es-AR"/>
        </w:rPr>
        <w:t xml:space="preserve">"</w:t>
      </w:r>
      <w:r>
        <w:rPr>
          <w:lang w:val="es-AR" w:eastAsia="es-AR" w:bidi="es-AR"/>
        </w:rPr>
        <w:t xml:space="preserve">, Expte. N° 39.364 del Juzgado en lo Civil y Comercial N° 3 departamental,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haciendo lugar a la demanda de desalojo y condenando en consecuencia a los demandados y a quienes resulten ocupantes (aclaratoria de fs. 525), a entregar a la parte actora, dentro de los diez días de quedar firme la sentencia, el uso del inmueble identificado en autos, aplicando las costas a los perdidosos y difiriendo la regulación de honorarios hasta que se haya determinado base firme para ello.</w:t>
      </w:r>
    </w:p>
    <w:p>
      <w:pPr>
        <w:pStyle w:val="[Normal]"/>
        <w:spacing w:line="480" w:lineRule="auto"/>
        <w:ind w:firstLine="1134"/>
        <w:jc w:val="both"/>
        <w:rPr>
          <w:lang w:val="es-AR" w:eastAsia="es-AR" w:bidi="es-AR"/>
        </w:rPr>
      </w:pPr>
      <w:r>
        <w:rPr>
          <w:lang w:val="es-AR" w:eastAsia="es-AR" w:bidi="es-AR"/>
        </w:rPr>
        <w:t xml:space="preserve">Mediante la presentación electrónica de fecha 31 de agosto de 2017 apeló la parte demandada, expresando sus agravios en el escrito agregado a fs. 544/9.</w:t>
      </w:r>
    </w:p>
    <w:p>
      <w:pPr>
        <w:pStyle w:val="[Normal]"/>
        <w:spacing w:line="480" w:lineRule="auto"/>
        <w:ind w:firstLine="1134"/>
        <w:jc w:val="both"/>
        <w:rPr>
          <w:lang w:val="es-AR" w:eastAsia="es-AR" w:bidi="es-AR"/>
        </w:rPr>
      </w:pPr>
      <w:r>
        <w:rPr>
          <w:lang w:val="es-AR" w:eastAsia="es-AR" w:bidi="es-AR"/>
        </w:rPr>
        <w:t xml:space="preserve">Principian su queja los apelantes denunciando como hecho nuevo en esta instancia, la recepción de una carta documento remitida por un tercero -Sra. Alicia Beatriz Pérez- que invoca ser legítima heredera del titular del bien de autos -Sr. Ramón Regino Fernández-, ofreciendo prueba documental, la que se resuelve tener presente a fs. 561.</w:t>
      </w:r>
    </w:p>
    <w:p>
      <w:pPr>
        <w:pStyle w:val="[Normal]"/>
        <w:spacing w:line="480" w:lineRule="auto"/>
        <w:ind w:firstLine="1134"/>
        <w:jc w:val="both"/>
        <w:rPr>
          <w:lang w:val="es-AR" w:eastAsia="es-AR" w:bidi="es-AR"/>
        </w:rPr>
      </w:pPr>
      <w:r>
        <w:rPr>
          <w:lang w:val="es-AR" w:eastAsia="es-AR" w:bidi="es-AR"/>
        </w:rPr>
        <w:t xml:space="preserve">Entienden que la misiva echa aún mas sombras sobre la legitimación activa del accionante Sr. Sánchez Ruiz, tanto en lo que hace al derecho de propiedad cuestionado como a la no acreditada posesión.</w:t>
      </w:r>
    </w:p>
    <w:p>
      <w:pPr>
        <w:pStyle w:val="[Normal]"/>
        <w:spacing w:line="480" w:lineRule="auto"/>
        <w:ind w:firstLine="1134"/>
        <w:jc w:val="both"/>
        <w:rPr>
          <w:lang w:val="es-AR" w:eastAsia="es-AR" w:bidi="es-AR"/>
        </w:rPr>
      </w:pPr>
      <w:r>
        <w:rPr>
          <w:lang w:val="es-AR" w:eastAsia="es-AR" w:bidi="es-AR"/>
        </w:rPr>
        <w:t xml:space="preserve">Se agravian de la omisión en el fallo de la "..</w:t>
      </w:r>
      <w:r>
        <w:rPr>
          <w:i/>
          <w:lang w:val="es-AR" w:eastAsia="es-AR" w:bidi="es-AR"/>
        </w:rPr>
        <w:t xml:space="preserve">.alegada y acreditada falta de legitimación activa actoral.</w:t>
      </w:r>
      <w:r>
        <w:rPr>
          <w:lang w:val="es-AR" w:eastAsia="es-AR" w:bidi="es-AR"/>
        </w:rPr>
        <w:t xml:space="preserve">..". Sostienen que invoca el reclamante su calidad de propietario de la parte indivisa del bien en cuestión, lo cual no fue probado, ya que acompañó el actor solamente una copia simple del testimonio de la escritura, la cual frente al desconocimiento de la contraria, no tiene validez alguna y que debía adjuntar la escritura pública mediante la cual habría de demostrar su calidad de dueño de la cosa inmueble, no resultando útil a tal efecto la mera agregación de un informe de dominio emanado del Registro de la Propiedad Inmueble.</w:t>
      </w:r>
    </w:p>
    <w:p>
      <w:pPr>
        <w:pStyle w:val="[Normal]"/>
        <w:spacing w:line="480" w:lineRule="auto"/>
        <w:ind w:firstLine="1134"/>
        <w:jc w:val="both"/>
        <w:rPr>
          <w:lang w:val="es-AR" w:eastAsia="es-AR" w:bidi="es-AR"/>
        </w:rPr>
      </w:pPr>
      <w:r>
        <w:rPr>
          <w:lang w:val="es-AR" w:eastAsia="es-AR" w:bidi="es-AR"/>
        </w:rPr>
        <w:t xml:space="preserve">Afirman que el actor nunca tomó la posesión del bien que dice haber adquirido, intentando valerse para sostener dicha adquisición de un supuesto contrato de comodato (fs. 19), que en primer lugar carece de fecha cierta y luego, fue celebrado en calidad de comodante por un letrado que carecía de toda facultad para tal contratación.   </w:t>
      </w:r>
    </w:p>
    <w:p>
      <w:pPr>
        <w:pStyle w:val="[Normal]"/>
        <w:spacing w:line="480" w:lineRule="auto"/>
        <w:ind w:firstLine="1134"/>
        <w:jc w:val="both"/>
        <w:rPr>
          <w:lang w:val="es-AR" w:eastAsia="es-AR" w:bidi="es-AR"/>
        </w:rPr>
      </w:pPr>
      <w:r>
        <w:rPr>
          <w:lang w:val="es-AR" w:eastAsia="es-AR" w:bidi="es-AR"/>
        </w:rPr>
        <w:t xml:space="preserve">Advierten en definitiva que no ha logrado el accionante acreditar la toma de posesión del inmueble ni haber realizado actos posesorios sobre el mismo, recordando que el aludido comodato no puede ser considerado válido por los motivos expuestos.</w:t>
      </w:r>
    </w:p>
    <w:p>
      <w:pPr>
        <w:pStyle w:val="[Normal]"/>
        <w:spacing w:line="480" w:lineRule="auto"/>
        <w:ind w:firstLine="1134"/>
        <w:jc w:val="both"/>
        <w:rPr>
          <w:lang w:val="es-AR" w:eastAsia="es-AR" w:bidi="es-AR"/>
        </w:rPr>
      </w:pPr>
      <w:r>
        <w:rPr>
          <w:lang w:val="es-AR" w:eastAsia="es-AR" w:bidi="es-AR"/>
        </w:rPr>
        <w:t xml:space="preserve">Respecto de la legitimación pasiva, afirman que no resultan de aplicación las normas del juicio de desalojo ya que ocupan el inmueble en calidad de poseedores, ejerciendo a través del tiempo numerosos actos posesorios, desde el pago de servicios hasta la acreditación de construcciones o mejoras edilicias.</w:t>
      </w:r>
    </w:p>
    <w:p>
      <w:pPr>
        <w:pStyle w:val="[Normal]"/>
        <w:spacing w:line="480" w:lineRule="auto"/>
        <w:ind w:firstLine="1134"/>
        <w:jc w:val="both"/>
        <w:rPr>
          <w:lang w:val="es-AR" w:eastAsia="es-AR" w:bidi="es-AR"/>
        </w:rPr>
      </w:pPr>
      <w:r>
        <w:rPr>
          <w:lang w:val="es-AR" w:eastAsia="es-AR" w:bidi="es-AR"/>
        </w:rPr>
        <w:t xml:space="preserve">Consigan doctrina de la S.C.B.A., señalando que el desalojo no es la vía idónea para obtener la restitución de un bien cuando el accionado comprueba </w:t>
      </w:r>
      <w:r>
        <w:rPr>
          <w:i/>
          <w:lang w:val="es-AR" w:eastAsia="es-AR" w:bidi="es-AR"/>
        </w:rPr>
        <w:t xml:space="preserve">prima facie</w:t>
      </w:r>
      <w:r>
        <w:rPr>
          <w:lang w:val="es-AR" w:eastAsia="es-AR" w:bidi="es-AR"/>
        </w:rPr>
        <w:t xml:space="preserve"> la posesión que invoca. </w:t>
      </w:r>
    </w:p>
    <w:p>
      <w:pPr>
        <w:pStyle w:val="[Normal]"/>
        <w:spacing w:line="480" w:lineRule="auto"/>
        <w:ind w:firstLine="1134"/>
        <w:jc w:val="both"/>
        <w:rPr>
          <w:lang w:val="es-AR" w:eastAsia="es-AR" w:bidi="es-AR"/>
        </w:rPr>
      </w:pPr>
      <w:r>
        <w:rPr>
          <w:lang w:val="es-AR" w:eastAsia="es-AR" w:bidi="es-AR"/>
        </w:rPr>
        <w:t xml:space="preserve">Expresan que en la denuncia por usurpación que dio lugar a la I.P.P. 47346, se presentó quien declara ser el propietario del inmueble, manifestando que las rúbricas que obran en la escritura pública allí agregada no le pertenecen lo cual derivó en la formación del incidente N° 55.623 sobre redargución de falsedad.</w:t>
      </w:r>
    </w:p>
    <w:p>
      <w:pPr>
        <w:pStyle w:val="[Normal]"/>
        <w:spacing w:line="480" w:lineRule="auto"/>
        <w:ind w:firstLine="1134"/>
        <w:jc w:val="both"/>
        <w:rPr>
          <w:lang w:val="es-AR" w:eastAsia="es-AR" w:bidi="es-AR"/>
        </w:rPr>
      </w:pPr>
      <w:r>
        <w:rPr>
          <w:lang w:val="es-AR" w:eastAsia="es-AR" w:bidi="es-AR"/>
        </w:rPr>
        <w:t xml:space="preserve">Se quejan pues el fallo tiene por acreditado el carácter de propietario del actor en base al informe de dominio emanado del Registro de la Propiedad Inmueble acompañado. Alegan que tales Registros son declarativos (no constitutivos) y no convalidantes de modo que el derecho de propiedad no nace con la inscripción pues se requiere de título y modo para la existencia del mismo.</w:t>
      </w:r>
    </w:p>
    <w:p>
      <w:pPr>
        <w:pStyle w:val="[Normal]"/>
        <w:spacing w:line="480" w:lineRule="auto"/>
        <w:ind w:firstLine="1134"/>
        <w:jc w:val="both"/>
        <w:rPr>
          <w:lang w:val="es-AR" w:eastAsia="es-AR" w:bidi="es-AR"/>
        </w:rPr>
      </w:pPr>
      <w:r>
        <w:rPr>
          <w:lang w:val="es-AR" w:eastAsia="es-AR" w:bidi="es-AR"/>
        </w:rPr>
        <w:t xml:space="preserve">Peticionan se revoque el fallo anterior y se rechace la demanda, con costas.</w:t>
      </w:r>
    </w:p>
    <w:p>
      <w:pPr>
        <w:pStyle w:val="[Normal]"/>
        <w:spacing w:line="480" w:lineRule="auto"/>
        <w:ind w:firstLine="1134"/>
        <w:jc w:val="both"/>
        <w:rPr>
          <w:lang w:val="es-AR" w:eastAsia="es-AR" w:bidi="es-AR"/>
        </w:rPr>
      </w:pPr>
      <w:r>
        <w:rPr>
          <w:lang w:val="es-AR" w:eastAsia="es-AR" w:bidi="es-AR"/>
        </w:rPr>
        <w:t xml:space="preserve">Conferido el traslado pertinente, es contestado por la contraria a fs. 554/9, quien solicita se declare desierto el recurso por insuficiencia recursiva y en subsidio, procede a contestar el traslado conferido, peticionando se confirme la sentencia apelada, con costas a los demandados.</w:t>
      </w:r>
    </w:p>
    <w:p>
      <w:pPr>
        <w:pStyle w:val="[Normal]"/>
        <w:spacing w:line="480" w:lineRule="auto"/>
        <w:ind w:firstLine="1134"/>
        <w:jc w:val="both"/>
        <w:rPr>
          <w:lang w:val="es-AR" w:eastAsia="es-AR" w:bidi="es-AR"/>
        </w:rPr>
      </w:pPr>
      <w:r>
        <w:rPr>
          <w:lang w:val="es-AR" w:eastAsia="es-AR" w:bidi="es-AR"/>
        </w:rPr>
        <w:t xml:space="preserve">Respecto de la documental, que formalmente fuera admitida como hecho nuevo a fs. 561 de conformidad al art. 255 inc. 5 a) del CPCC, entiende el actor que nada aporta en tanto se desconoce quien resultaría ser la persona remitente y por lo demás, siendo que alega carácter de heredera, no se ha justificado ello con la pertinente declaratoria de herederos. Igualmente, destaca que aún cuando lo fuera,</w:t>
      </w:r>
      <w:r>
        <w:rPr>
          <w:i/>
          <w:lang w:val="es-AR" w:eastAsia="es-AR" w:bidi="es-AR"/>
        </w:rPr>
        <w:t xml:space="preserve"> "...no despoja de legitimación al actor, como bien señala el A-quo en la sentencia tomando doctrina imperante en la materia: el condómino no necesita de la autorización de los restantes para ejercer la acción de desalojo, ya que realiza un acto de administración, conservatorio de un patrimonio común, en calidad de mandatario o gestor oficioso."</w:t>
      </w:r>
    </w:p>
    <w:p>
      <w:pPr>
        <w:pStyle w:val="[Normal]"/>
        <w:spacing w:line="480" w:lineRule="auto"/>
        <w:ind w:firstLine="1134"/>
        <w:jc w:val="both"/>
        <w:rPr>
          <w:lang w:val="es-AR" w:eastAsia="es-AR" w:bidi="es-AR"/>
        </w:rPr>
      </w:pPr>
      <w:r>
        <w:rPr>
          <w:lang w:val="es-AR" w:eastAsia="es-AR" w:bidi="es-AR"/>
        </w:rPr>
        <w:t xml:space="preserve">A fs. 564 se dictó el llamamiento de autos, providencia que firme, deja la causa en condiciones de ser fallada.</w:t>
      </w:r>
    </w:p>
    <w:p>
      <w:pPr>
        <w:pStyle w:val="[Normal]"/>
        <w:spacing w:line="480" w:lineRule="auto"/>
        <w:ind w:firstLine="1134"/>
        <w:jc w:val="both"/>
        <w:rPr>
          <w:lang w:val="es-AR" w:eastAsia="es-AR" w:bidi="es-AR"/>
        </w:rPr>
      </w:pPr>
      <w:r>
        <w:rPr>
          <w:lang w:val="es-AR" w:eastAsia="es-AR" w:bidi="es-AR"/>
        </w:rPr>
        <w:t xml:space="preserve">Voy a dar tratamiento al pedido expreso formulado en el escrito de responde de la parte actora en cuanto solicita se declare desierto el recurso traído, conforme arts . 260 y 261 del CPCC y su doctrina, examinado asimismo si el decisorio en crisis se ajusta a derecho. </w:t>
      </w:r>
    </w:p>
    <w:p>
      <w:pPr>
        <w:pStyle w:val="[Normal]"/>
        <w:spacing w:line="480" w:lineRule="auto"/>
        <w:ind w:firstLine="1134"/>
        <w:jc w:val="both"/>
        <w:rPr>
          <w:lang w:val="es-AR" w:eastAsia="es-AR" w:bidi="es-AR"/>
        </w:rPr>
      </w:pPr>
      <w:r>
        <w:rPr>
          <w:lang w:val="es-AR" w:eastAsia="es-AR" w:bidi="es-AR"/>
        </w:rPr>
        <w:t xml:space="preserve">Soy de opinión que la queja de los demandados no reúne los requisitos previstos por la normativa citada, en cuanto todo planteo revisor debe contener un análisis razonado de la materia impugnada, aportando la demostración de lo que se reputa erróneo, injusto o contrario a derecho, debiendo agotarse en la segunda instancia la carga técnica de comunicar a la Alzada cuales son los motivos concretos del agravio sin que puedan ser suficientes las meras discrepancias subjetivas con el criterio expuesto por el juzgador. (Cfr. Morello, Códigos Procesales, T. III pág 204).</w:t>
      </w:r>
    </w:p>
    <w:p>
      <w:pPr>
        <w:pStyle w:val="[Normal]"/>
        <w:spacing w:line="480" w:lineRule="auto"/>
        <w:ind w:firstLine="1134"/>
        <w:jc w:val="both"/>
        <w:rPr>
          <w:lang w:val="es-AR" w:eastAsia="es-AR" w:bidi="es-AR"/>
        </w:rPr>
      </w:pPr>
      <w:r>
        <w:rPr>
          <w:lang w:val="es-AR" w:eastAsia="es-AR" w:bidi="es-AR"/>
        </w:rPr>
        <w:t xml:space="preserve">"Cuando las manifestaciones que trae la parte recurrente en su escrito de expresión de agravios no pasan de ser meras disconformidades basadas en argumentaciones reiteratorias de las anteriores, ellas no reúnen los requisitos exigidos por los arts. 260 y 261 del digesto ritual; esto es, no constituyen una articulación seria, fundada, concreta y objetiva de los errores de la sentencia..." (CC0203 LP 108361 RSD-30-14 S 25/03/2014).</w:t>
      </w:r>
    </w:p>
    <w:p>
      <w:pPr>
        <w:pStyle w:val="[Normal]"/>
        <w:spacing w:line="480" w:lineRule="auto"/>
        <w:ind w:firstLine="1134"/>
        <w:jc w:val="both"/>
        <w:rPr>
          <w:lang w:val="es-AR" w:eastAsia="es-AR" w:bidi="es-AR"/>
        </w:rPr>
      </w:pPr>
      <w:r>
        <w:rPr>
          <w:lang w:val="es-AR" w:eastAsia="es-AR" w:bidi="es-AR"/>
        </w:rPr>
        <w:t xml:space="preserve">Ciertamente el escrito de los apelantes se ciñe a reiterar los fundamentos expuestos al contestar la demanda. Respecto de la falta de legitimación del actor, insistiendo en la ineficacia de la documental presentada para demostrar su calidad de propietario, alegando nuevamente sobre que "... el derecho real de dominio, para su existencia requiere de título y modo suficientes ... El actor se limita a acompañar una copia simple del testimonio de la escritura..." </w:t>
      </w:r>
    </w:p>
    <w:p>
      <w:pPr>
        <w:pStyle w:val="[Normal]"/>
        <w:spacing w:line="480" w:lineRule="auto"/>
        <w:ind w:firstLine="1134"/>
        <w:jc w:val="both"/>
        <w:rPr>
          <w:lang w:val="es-AR" w:eastAsia="es-AR" w:bidi="es-AR"/>
        </w:rPr>
      </w:pPr>
      <w:r>
        <w:rPr>
          <w:lang w:val="es-AR" w:eastAsia="es-AR" w:bidi="es-AR"/>
        </w:rPr>
        <w:t xml:space="preserve">Dicen entonces, que el informe del Registro de Propiedad Inmueble es lo que ha sido determinante de la decisión del magistrado.</w:t>
      </w:r>
    </w:p>
    <w:p>
      <w:pPr>
        <w:pStyle w:val="[Normal]"/>
        <w:spacing w:line="480" w:lineRule="auto"/>
        <w:ind w:firstLine="1134"/>
        <w:jc w:val="both"/>
        <w:rPr>
          <w:lang w:val="es-AR" w:eastAsia="es-AR" w:bidi="es-AR"/>
        </w:rPr>
      </w:pPr>
      <w:r>
        <w:rPr>
          <w:lang w:val="es-AR" w:eastAsia="es-AR" w:bidi="es-AR"/>
        </w:rPr>
        <w:t xml:space="preserve">Mas el sentenciante fundó la desestimación de la defensa opuesta, detallando las probanzas que lo llevaran a tal decisión, y expresamente refirió a la carencia de valor probatorio por sí sola de la "copia simple de la escritura", pero destacó que en la especie resulta debidamente  complementada por los informes tanto del Registro de la Propiedad Inmueble, como de la Municipalidad de Colón, y tal conclusión no es idóneamente atacada.</w:t>
      </w:r>
    </w:p>
    <w:p>
      <w:pPr>
        <w:pStyle w:val="[Normal]"/>
        <w:spacing w:line="480" w:lineRule="auto"/>
        <w:ind w:firstLine="1134"/>
        <w:jc w:val="both"/>
        <w:rPr>
          <w:i/>
          <w:lang w:val="es-AR" w:eastAsia="es-AR" w:bidi="es-AR"/>
        </w:rPr>
      </w:pPr>
      <w:r>
        <w:rPr>
          <w:lang w:val="es-AR" w:eastAsia="es-AR" w:bidi="es-AR"/>
        </w:rPr>
        <w:t xml:space="preserve">En cuanto a la posesión, no rebaten sólidamente las razones meritadas por el Juzgador. Ponen énfasis en que el comodato invocado por el actor, </w:t>
      </w:r>
      <w:r>
        <w:rPr>
          <w:i/>
          <w:lang w:val="es-AR" w:eastAsia="es-AR" w:bidi="es-AR"/>
        </w:rPr>
        <w:t xml:space="preserve">"...único elemento con que cuenta el accionante para acreditar el modo, o sea haber adquirido la posesión del inmueble que refiere, no puede ser considerado instrumento</w:t>
      </w:r>
      <w:r>
        <w:rPr>
          <w:lang w:val="es-AR" w:eastAsia="es-AR" w:bidi="es-AR"/>
        </w:rPr>
        <w:t xml:space="preserve"> </w:t>
      </w:r>
      <w:r>
        <w:rPr>
          <w:i/>
          <w:lang w:val="es-AR" w:eastAsia="es-AR" w:bidi="es-AR"/>
        </w:rPr>
        <w:t xml:space="preserve">jurídico válido." .</w:t>
      </w:r>
    </w:p>
    <w:p>
      <w:pPr>
        <w:pStyle w:val="[Normal]"/>
        <w:spacing w:line="480" w:lineRule="auto"/>
        <w:ind w:firstLine="1134"/>
        <w:jc w:val="both"/>
        <w:rPr>
          <w:lang w:val="es-AR" w:eastAsia="es-AR" w:bidi="es-AR"/>
        </w:rPr>
      </w:pPr>
      <w:r>
        <w:rPr>
          <w:lang w:val="es-AR" w:eastAsia="es-AR" w:bidi="es-AR"/>
        </w:rPr>
        <w:t xml:space="preserve">Y dicho elemento al que aluden, no fue considerado por el A-quo al decidir.</w:t>
      </w:r>
      <w:r>
        <w:rPr>
          <w:i/>
          <w:lang w:val="es-AR" w:eastAsia="es-AR" w:bidi="es-AR"/>
        </w:rPr>
        <w:t xml:space="preserve"> </w:t>
      </w:r>
      <w:r>
        <w:rPr>
          <w:lang w:val="es-AR" w:eastAsia="es-AR" w:bidi="es-AR"/>
        </w:rPr>
        <w:t xml:space="preserve">El Sr. Juez fundó la existencia del extremo en cuestión en que el título de propiedad en que apoya su derecho el actor, -al que el Sr. Juez le asignara valor probatorio emergente del instrumento copia simple de escritura conjuntamente con el instrumento público asiento registral e informe municipal-, es anterior a la posesión que pretendería demostrar el demandado y se presume entonces -en virtud de la inteligencia del art. 2790 del C.C., que aquél es poseedor y propietario ante la ausencia de prueba en contrario de lo accionados (fs. 513 y vta.).</w:t>
      </w:r>
    </w:p>
    <w:p>
      <w:pPr>
        <w:pStyle w:val="[Normal]"/>
        <w:spacing w:line="480" w:lineRule="auto"/>
        <w:ind w:firstLine="1134"/>
        <w:jc w:val="both"/>
        <w:rPr>
          <w:lang w:val="es-AR" w:eastAsia="es-AR" w:bidi="es-AR"/>
        </w:rPr>
      </w:pPr>
      <w:r>
        <w:rPr>
          <w:lang w:val="es-AR" w:eastAsia="es-AR" w:bidi="es-AR"/>
        </w:rPr>
        <w:t xml:space="preserve">Y en dicho orden, he de señalar que la procedencia de la acción ha sido debidamente fundamentada valorándose el carácter de intrusos de los demandados, dando el juez las razones de tal calificación, y en definitiva  los apelantes se han limitado a reiterar lo expuesto en oportunidad de contestar demanda, sin entrar a sopesar las razones expresamente tenidas en cuenta por el Juez de Primera Instancia, principalmente el hecho de no haber acreditado los oponentes, que los actos posesorios invocados fueran de fecha anterior al reclamo actoral, y que por ello, no pueden ser tenidos por idóneos para juzgar operada la interversión del título en virtud del cual detentan materialmente el inmueble. </w:t>
      </w:r>
    </w:p>
    <w:p>
      <w:pPr>
        <w:pStyle w:val="[Normal]"/>
        <w:spacing w:line="480" w:lineRule="auto"/>
        <w:ind w:firstLine="1134"/>
        <w:jc w:val="both"/>
        <w:rPr>
          <w:lang w:val="es-AR" w:eastAsia="es-AR" w:bidi="es-AR"/>
        </w:rPr>
      </w:pPr>
      <w:r>
        <w:rPr>
          <w:lang w:val="es-AR" w:eastAsia="es-AR" w:bidi="es-AR"/>
        </w:rPr>
        <w:t xml:space="preserve">Por último, en relación a la prueba documental incorporada en esta Alzada, entiendo que no incide en las motivaciones que fundan la sentencia recurrida y por conducto de la misma la parte oferente no logra demostrar yerro en el decisorio atacado por cuanto no desvirtúa la premisa en que se basa el A-quo, relativa a la legitimación activa del condómino para accionar por desalojo.</w:t>
      </w:r>
    </w:p>
    <w:p>
      <w:pPr>
        <w:pStyle w:val="[Normal]"/>
        <w:spacing w:line="480" w:lineRule="auto"/>
        <w:ind w:firstLine="1134"/>
        <w:jc w:val="both"/>
        <w:rPr>
          <w:lang w:val="es-AR" w:eastAsia="es-AR" w:bidi="es-AR"/>
        </w:rPr>
      </w:pPr>
      <w:r>
        <w:rPr>
          <w:lang w:val="es-AR" w:eastAsia="es-AR" w:bidi="es-AR"/>
        </w:rPr>
        <w:t xml:space="preserve">De las consideraciones expuestas se sigue que el ataque recursivo no reúne los requisitos de eficacia técnica exigidos en esta instancia, y mediando pedido de la contraria en su presentación de fs. 554/559, ha de declararse desierto el recurso interpuesto por los demandados (arts. 260, 261 del CPCC y su doctrina). Con costas a los apelantes vencidos (art. 68 del CPCC).</w:t>
      </w:r>
    </w:p>
    <w:p>
      <w:pPr>
        <w:pStyle w:val="[Normal]"/>
        <w:spacing w:line="480" w:lineRule="auto"/>
        <w:ind w:firstLine="1134"/>
        <w:jc w:val="both"/>
        <w:rPr>
          <w:lang w:val="es-AR" w:eastAsia="es-AR" w:bidi="es-AR"/>
        </w:rPr>
      </w:pPr>
      <w:r>
        <w:rPr>
          <w:lang w:val="es-AR" w:eastAsia="es-AR" w:bidi="es-AR"/>
        </w:rPr>
        <w:t xml:space="preserve">Por  las razones dadas, citas legales y jurisprudenciales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Declarar desierto el recurso de apelación deducido por los demandados y en consecuencia firme la sentencia atacada.(arts. 260/1 del CPCC).</w:t>
      </w:r>
    </w:p>
    <w:p>
      <w:pPr>
        <w:pStyle w:val="[Normal]"/>
        <w:spacing w:line="480" w:lineRule="auto"/>
        <w:ind w:firstLine="1134"/>
        <w:jc w:val="both"/>
        <w:rPr>
          <w:lang w:val="es-AR" w:eastAsia="es-AR" w:bidi="es-AR"/>
        </w:rPr>
      </w:pPr>
      <w:r>
        <w:rPr>
          <w:lang w:val="es-AR" w:eastAsia="es-AR" w:bidi="es-AR"/>
        </w:rPr>
        <w:t xml:space="preserve">Costas a los apelantes perdidosos (arts. 68/9 CPCC).</w:t>
      </w:r>
    </w:p>
    <w:p>
      <w:pPr>
        <w:pStyle w:val="[Normal]"/>
        <w:spacing w:line="480" w:lineRule="auto"/>
        <w:ind w:firstLine="1134"/>
        <w:jc w:val="both"/>
        <w:rPr>
          <w:lang w:val="es-AR" w:eastAsia="es-AR" w:bidi="es-AR"/>
        </w:rPr>
      </w:pPr>
      <w:r>
        <w:rPr>
          <w:lang w:val="es-AR" w:eastAsia="es-AR" w:bidi="es-AR"/>
        </w:rPr>
        <w:t xml:space="preserve">Diferir la regulación de honorarios para el momento que exista base firme para ello (Art. 31 ley arancelaria).-</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Declarar desierto el recurso de apelación deducido por los demandados, por no cumplir con  la crítica concreta y en consecuencia firme la sentencia atacada.(Art. 261 del CPCC).</w:t>
      </w:r>
    </w:p>
    <w:p>
      <w:pPr>
        <w:pStyle w:val="[Normal]"/>
        <w:spacing w:line="480" w:lineRule="auto"/>
        <w:ind w:firstLine="1134"/>
        <w:jc w:val="both"/>
        <w:rPr>
          <w:lang w:val="es-AR" w:eastAsia="es-AR" w:bidi="es-AR"/>
        </w:rPr>
      </w:pPr>
      <w:r>
        <w:rPr>
          <w:lang w:val="es-AR" w:eastAsia="es-AR" w:bidi="es-AR"/>
        </w:rPr>
        <w:t xml:space="preserve">Costas a los apelantes perdidosos (arts. 68/9 CPCC).</w:t>
      </w:r>
    </w:p>
    <w:p>
      <w:pPr>
        <w:pStyle w:val="[Normal]"/>
        <w:spacing w:line="480" w:lineRule="auto"/>
        <w:ind w:firstLine="1134"/>
        <w:jc w:val="both"/>
        <w:rPr>
          <w:lang w:val="es-AR" w:eastAsia="es-AR" w:bidi="es-AR"/>
        </w:rPr>
      </w:pPr>
      <w:r>
        <w:rPr>
          <w:lang w:val="es-AR" w:eastAsia="es-AR" w:bidi="es-AR"/>
        </w:rPr>
        <w:t xml:space="preserve">Diferir la regulación de honorarios para el momento que exista base firme para ello (Art. 31 ley arancelaria).</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r>
        <w:rPr>
          <w:b/>
          <w:color w:val="000000"/>
          <w:sz w:val="18"/>
          <w:lang w:val="es-AR" w:eastAsia="es-AR" w:bidi="es-AR"/>
        </w:rPr>
        <w:t xml:space="preserve">                                    Roberto Manuel DEGLEUE</w:t>
      </w:r>
    </w:p>
    <w:p>
      <w:pPr>
        <w:pStyle w:val="[Normal]"/>
        <w:jc w:val="center"/>
        <w:rPr>
          <w:b/>
          <w:color w:val="000000"/>
          <w:sz w:val="18"/>
          <w:lang w:val="es-AR" w:eastAsia="es-AR" w:bidi="es-AR"/>
        </w:rPr>
      </w:pPr>
      <w:r>
        <w:rPr>
          <w:b/>
          <w:color w:val="000000"/>
          <w:sz w:val="18"/>
          <w:lang w:val="es-AR" w:eastAsia="es-AR" w:bidi="es-AR"/>
        </w:rPr>
        <w:t xml:space="preserve">Presidente Excma. Cámara de</w:t>
      </w:r>
    </w:p>
    <w:p>
      <w:pPr>
        <w:pStyle w:val="[Normal]"/>
        <w:jc w:val="center"/>
        <w:rPr>
          <w:b/>
          <w:color w:val="000000"/>
          <w:sz w:val="18"/>
          <w:lang w:val="es-AR" w:eastAsia="es-AR" w:bidi="es-AR"/>
        </w:rPr>
      </w:pPr>
      <w:r>
        <w:rPr>
          <w:b/>
          <w:color w:val="000000"/>
          <w:sz w:val="18"/>
          <w:lang w:val="es-AR" w:eastAsia="es-AR" w:bidi="es-AR"/>
        </w:rPr>
        <w:t xml:space="preserve">Apelación en lo Civil y Comercial </w:t>
      </w:r>
    </w:p>
    <w:p>
      <w:pPr>
        <w:pStyle w:val="[Normal]"/>
        <w:jc w:val="center"/>
        <w:rPr>
          <w:b/>
          <w:color w:val="000000"/>
          <w:sz w:val="18"/>
          <w:lang w:val="es-AR" w:eastAsia="es-AR" w:bidi="es-AR"/>
        </w:rPr>
      </w:pPr>
      <w:r>
        <w:rPr>
          <w:b/>
          <w:color w:val="000000"/>
          <w:sz w:val="18"/>
          <w:lang w:val="es-AR" w:eastAsia="es-AR" w:bidi="es-AR"/>
        </w:rPr>
        <w:t xml:space="preserve">Dpto. Judicial Pergamino</w:t>
      </w:r>
    </w:p>
    <w:p>
      <w:pPr>
        <w:pStyle w:val="[Normal]"/>
        <w:jc w:val="center"/>
        <w:rPr>
          <w:b/>
          <w:color w:val="000000"/>
          <w:sz w:val="18"/>
          <w:lang w:val="es-AR" w:eastAsia="es-AR" w:bidi="es-AR"/>
        </w:rPr>
      </w:pPr>
      <w:r>
        <w:rPr>
          <w:b/>
          <w:color w:val="000000"/>
          <w:sz w:val="18"/>
          <w:lang w:val="es-AR" w:eastAsia="es-AR" w:bidi="es-AR"/>
        </w:rPr>
        <w:t xml:space="preserve">                                                                                                                                              Si-////</w:t>
      </w:r>
    </w:p>
    <w:p>
      <w:pPr>
        <w:pStyle w:val="[Normal]"/>
        <w:jc w:val="both"/>
        <w:rPr>
          <w:b/>
          <w:color w:val="000000"/>
          <w:sz w:val="18"/>
          <w:lang w:val="es-AR" w:eastAsia="es-AR" w:bidi="es-AR"/>
        </w:rPr>
      </w:pPr>
      <w:r>
        <w:rPr>
          <w:b/>
          <w:color w:val="000000"/>
          <w:sz w:val="18"/>
          <w:lang w:val="es-AR" w:eastAsia="es-AR" w:bidi="es-AR"/>
        </w:rPr>
        <w:t xml:space="preserve">////guen las Firmas.-</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Graciela SCARAFFIA</w:t>
      </w:r>
    </w:p>
    <w:p>
      <w:pPr>
        <w:pStyle w:val="[Normal]"/>
        <w:jc w:val="both"/>
        <w:rPr>
          <w:b/>
          <w:color w:val="000000"/>
          <w:sz w:val="18"/>
          <w:lang w:val="es-AR" w:eastAsia="es-AR" w:bidi="es-AR"/>
        </w:rPr>
      </w:pPr>
      <w:r>
        <w:rPr>
          <w:b/>
          <w:color w:val="000000"/>
          <w:sz w:val="18"/>
          <w:lang w:val="es-AR" w:eastAsia="es-AR" w:bidi="es-AR"/>
        </w:rPr>
        <w:t xml:space="preserve">                                             - Jueza-</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Luis María BIANCO</w:t>
      </w:r>
    </w:p>
    <w:p>
      <w:pPr>
        <w:pStyle w:val="[Normal]"/>
        <w:jc w:val="both"/>
        <w:rPr>
          <w:b/>
          <w:color w:val="000000"/>
          <w:sz w:val="18"/>
          <w:lang w:val="es-AR" w:eastAsia="es-AR" w:bidi="es-AR"/>
        </w:rPr>
      </w:pPr>
      <w:r>
        <w:rPr>
          <w:b/>
          <w:color w:val="000000"/>
          <w:sz w:val="18"/>
          <w:lang w:val="es-AR" w:eastAsia="es-AR" w:bidi="es-AR"/>
        </w:rPr>
        <w:t xml:space="preserve">                                                                          Auxiliar Letrado</w:t>
      </w:r>
    </w:p>
    <w:p>
      <w:pPr>
        <w:pStyle w:val="[Normal]"/>
        <w:rPr>
          <w:b/>
          <w:color w:val="000000"/>
          <w:sz w:val="18"/>
          <w:lang w:val="es-AR" w:eastAsia="es-AR" w:bidi="es-AR"/>
        </w:rPr>
      </w:pPr>
      <w:r>
        <w:rPr>
          <w:b/>
          <w:color w:val="000000"/>
          <w:sz w:val="18"/>
          <w:lang w:val="es-AR" w:eastAsia="es-AR" w:bidi="es-AR"/>
        </w:rPr>
        <w:t xml:space="preserve">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