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Registro N°  51  /</w:t>
      </w:r>
      <w:r>
        <w:rPr>
          <w:b/>
          <w:color w:val="000000"/>
          <w:lang w:val="es-AR" w:eastAsia="es-AR" w:bidi="es-AR"/>
        </w:rPr>
        <w:t xml:space="preserve">2019</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332/334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25 de Abril de </w:t>
      </w:r>
      <w:r>
        <w:rPr>
          <w:color w:val="000000"/>
          <w:lang w:val="es-AR" w:eastAsia="es-AR" w:bidi="es-AR"/>
        </w:rPr>
        <w:t xml:space="preserve">2019</w:t>
      </w:r>
      <w:r>
        <w:rPr>
          <w:lang w:val="es-AR" w:eastAsia="es-AR" w:bidi="es-AR"/>
        </w:rPr>
        <w:t xml:space="preserve">, reunidos en Acuerdo Ordinario los Sres. Jueces de la Excma. Cámara de Apelación en lo Civil y Comercial del Departamento Judicial Pergamino, para dictar sentencia en la causa N°</w:t>
      </w:r>
      <w:r>
        <w:rPr>
          <w:b/>
          <w:i/>
          <w:lang w:val="es-AR" w:eastAsia="es-AR" w:bidi="es-AR"/>
        </w:rPr>
        <w:t xml:space="preserve"> </w:t>
      </w:r>
      <w:r>
        <w:rPr>
          <w:b/>
          <w:color w:val="000000"/>
          <w:lang w:val="es-AR" w:eastAsia="es-AR" w:bidi="es-AR"/>
        </w:rPr>
        <w:t xml:space="preserve">3465-18</w:t>
      </w:r>
      <w:r>
        <w:rPr>
          <w:lang w:val="es-AR" w:eastAsia="es-AR" w:bidi="es-AR"/>
        </w:rPr>
        <w:t xml:space="preserve"> caratulada </w:t>
      </w:r>
      <w:r>
        <w:rPr>
          <w:b/>
          <w:lang w:val="es-AR" w:eastAsia="es-AR" w:bidi="es-AR"/>
        </w:rPr>
        <w:t xml:space="preserve">"</w:t>
      </w:r>
      <w:r>
        <w:rPr>
          <w:b/>
          <w:color w:val="000000"/>
          <w:lang w:val="es-AR" w:eastAsia="es-AR" w:bidi="es-AR"/>
        </w:rPr>
        <w:t xml:space="preserve">FISCO DE PROVINCIA DE BS.AS. C/ CANEPA, ALBERTO S/ APREMIO</w:t>
      </w:r>
      <w:r>
        <w:rPr>
          <w:b/>
          <w:lang w:val="es-AR" w:eastAsia="es-AR" w:bidi="es-AR"/>
        </w:rPr>
        <w:t xml:space="preserve">"</w:t>
      </w:r>
      <w:r>
        <w:rPr>
          <w:lang w:val="es-AR" w:eastAsia="es-AR" w:bidi="es-AR"/>
        </w:rPr>
        <w:t xml:space="preserve">, Expte. </w:t>
      </w:r>
      <w:r>
        <w:rPr>
          <w:color w:val="000000"/>
          <w:lang w:val="es-AR" w:eastAsia="es-AR" w:bidi="es-AR"/>
        </w:rPr>
        <w:t xml:space="preserve">60552</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Civil y Comercial N°</w:t>
      </w:r>
      <w:r>
        <w:rPr>
          <w:lang w:val="es-AR" w:eastAsia="es-AR" w:bidi="es-AR"/>
        </w:rPr>
        <w:t xml:space="preserve"> 2 departamental, se practicó el sorteo de ley que determinó que la votación debía efectuarse en el siguiente orden: </w:t>
      </w:r>
      <w:r>
        <w:rPr>
          <w:color w:val="000000"/>
          <w:lang w:val="es-AR" w:eastAsia="es-AR" w:bidi="es-AR"/>
        </w:rPr>
        <w:t xml:space="preserve">Roberto Manuel Degleue y Graciela Scaraffia,</w:t>
      </w:r>
      <w:r>
        <w:rPr>
          <w:lang w:val="es-AR" w:eastAsia="es-AR" w:bidi="es-AR"/>
        </w:rPr>
        <w:t xml:space="preserve"> y estudiados los autos se resolvió plantear y votar las siguientes: </w:t>
      </w:r>
    </w:p>
    <w:p>
      <w:pPr>
        <w:pStyle w:val="[Normal]"/>
        <w:spacing w:line="480" w:lineRule="auto"/>
        <w:ind w:firstLine="1134"/>
        <w:jc w:val="both"/>
        <w:rPr>
          <w:lang w:val="es-AR" w:eastAsia="es-AR" w:bidi="es-AR"/>
        </w:rPr>
      </w:pPr>
      <w:r>
        <w:rPr>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480" w:lineRule="auto"/>
        <w:ind w:firstLine="1134"/>
        <w:jc w:val="both"/>
        <w:rPr>
          <w:lang w:val="es-AR" w:eastAsia="es-AR" w:bidi="es-AR"/>
        </w:rPr>
      </w:pPr>
      <w:r>
        <w:rPr>
          <w:lang w:val="es-AR" w:eastAsia="es-AR" w:bidi="es-AR"/>
        </w:rPr>
        <w:t xml:space="preserve">El señor Juez de primera instancia a fs. 115/6 aprobó la liquidación presentada por el demandado a fs. 99/100 en la suma de $18.655,35. Impuso las costas de la incidencia a la actora y reguló los honorarios de los profesionales intervinientes.</w:t>
      </w:r>
    </w:p>
    <w:p>
      <w:pPr>
        <w:pStyle w:val="[Normal]"/>
        <w:spacing w:line="480" w:lineRule="auto"/>
        <w:jc w:val="both"/>
        <w:rPr>
          <w:lang w:val="es-AR" w:eastAsia="es-AR" w:bidi="es-AR"/>
        </w:rPr>
      </w:pPr>
      <w:r>
        <w:rPr>
          <w:lang w:val="es-AR" w:eastAsia="es-AR" w:bidi="es-AR"/>
        </w:rPr>
        <w:t xml:space="preserve">                 Disconforme con lo decidido, apela el Dr. Matias Mercader, en su carácter de apoderado fiscal, mediante presentación electrónica de fecha 15-8-2018, fundado el recurso en el acto de su interposición, concedido en relación a fs. 144, habiendo la contraria contestado el traslado conferido en fecha 23-8-2018.   </w:t>
      </w:r>
    </w:p>
    <w:p>
      <w:pPr>
        <w:pStyle w:val="[Normal]"/>
        <w:spacing w:line="480" w:lineRule="auto"/>
        <w:jc w:val="both"/>
        <w:rPr>
          <w:lang w:val="es-AR" w:eastAsia="es-AR" w:bidi="es-AR"/>
        </w:rPr>
      </w:pPr>
      <w:r>
        <w:rPr>
          <w:lang w:val="es-AR" w:eastAsia="es-AR" w:bidi="es-AR"/>
        </w:rPr>
        <w:t xml:space="preserve">                 Elevados los autos, se llama autos para resolver a fs. 156, providencia que firme a la fecha, deja la causa en condiciones de ser fallada.</w:t>
      </w:r>
    </w:p>
    <w:p>
      <w:pPr>
        <w:pStyle w:val="[Normal]"/>
        <w:spacing w:line="480" w:lineRule="auto"/>
        <w:jc w:val="both"/>
        <w:rPr>
          <w:lang w:val="es-AR" w:eastAsia="es-AR" w:bidi="es-AR"/>
        </w:rPr>
      </w:pPr>
      <w:r>
        <w:rPr>
          <w:lang w:val="es-AR" w:eastAsia="es-AR" w:bidi="es-AR"/>
        </w:rPr>
        <w:t xml:space="preserve">	La quejosa se agravia del decisorio atacado por cuanto aprueba la liquidación aplicando una tasa de interés distinta de que se estableció en la sentencia firme y consentida de fecha 3-4-1996, señalando que en tal veredicto se ordenó aplicar los intereses previstos en el Código Fiscal. Manifiesta que tal proceder violenta el principio de cosa juzgada y seguridad jurídica.</w:t>
      </w:r>
    </w:p>
    <w:p>
      <w:pPr>
        <w:pStyle w:val="[Normal]"/>
        <w:spacing w:line="480" w:lineRule="auto"/>
        <w:jc w:val="both"/>
        <w:rPr>
          <w:lang w:val="es-AR" w:eastAsia="es-AR" w:bidi="es-AR"/>
        </w:rPr>
      </w:pPr>
      <w:r>
        <w:rPr>
          <w:lang w:val="es-AR" w:eastAsia="es-AR" w:bidi="es-AR"/>
        </w:rPr>
        <w:t xml:space="preserve">	Asimismo se queja de que el sentenciante intenta morigerar los intereses aplicables a la deuda por ingresos brutos y que dicha facultad no está permitida a los jueces en el art. 622 del CC puesto que la tasa de interés aplicable a los tributos provinciales es una tasa legal, cuya regulación está contenida en el Código Fiscal provincial.</w:t>
      </w:r>
    </w:p>
    <w:p>
      <w:pPr>
        <w:pStyle w:val="[Normal]"/>
        <w:spacing w:line="480" w:lineRule="auto"/>
        <w:jc w:val="both"/>
        <w:rPr>
          <w:lang w:val="es-AR" w:eastAsia="es-AR" w:bidi="es-AR"/>
        </w:rPr>
      </w:pPr>
      <w:r>
        <w:rPr>
          <w:lang w:val="es-AR" w:eastAsia="es-AR" w:bidi="es-AR"/>
        </w:rPr>
        <w:t xml:space="preserve">	En otro orden, cuestiona el rechazo de la impugnación oportunamente deducida por considerar el a-quo que su parte con cumplió con la carga de presentar en término la liquidación del crédito.</w:t>
      </w:r>
    </w:p>
    <w:p>
      <w:pPr>
        <w:pStyle w:val="[Normal]"/>
        <w:spacing w:line="480" w:lineRule="auto"/>
        <w:jc w:val="both"/>
        <w:rPr>
          <w:lang w:val="es-AR" w:eastAsia="es-AR" w:bidi="es-AR"/>
        </w:rPr>
      </w:pPr>
      <w:r>
        <w:rPr>
          <w:lang w:val="es-AR" w:eastAsia="es-AR" w:bidi="es-AR"/>
        </w:rPr>
        <w:t xml:space="preserve">	Solicita se haga lugar al recurso deducido, con costas.</w:t>
      </w:r>
    </w:p>
    <w:p>
      <w:pPr>
        <w:pStyle w:val="[Normal]"/>
        <w:spacing w:line="480" w:lineRule="auto"/>
        <w:jc w:val="both"/>
        <w:rPr>
          <w:b/>
          <w:lang w:val="es-AR" w:eastAsia="es-AR" w:bidi="es-AR"/>
        </w:rPr>
      </w:pPr>
      <w:r>
        <w:rPr>
          <w:lang w:val="es-AR" w:eastAsia="es-AR" w:bidi="es-AR"/>
        </w:rPr>
        <w:t xml:space="preserve">	La contraria al contestar el traslado conferido esgrimiendo razones de economía procesal se remite a lo manifestado por su parte en escritos precedentes. </w:t>
      </w:r>
    </w:p>
    <w:p>
      <w:pPr>
        <w:pStyle w:val="[Normal]"/>
        <w:spacing w:line="480" w:lineRule="auto"/>
        <w:ind w:firstLine="1134"/>
        <w:jc w:val="both"/>
        <w:rPr>
          <w:lang w:val="es-AR" w:eastAsia="es-AR" w:bidi="es-AR"/>
        </w:rPr>
      </w:pPr>
      <w:r>
        <w:rPr>
          <w:lang w:val="es-AR" w:eastAsia="es-AR" w:bidi="es-AR"/>
        </w:rPr>
        <w:t xml:space="preserve">Entrando a resolver, de las constancias de autos surge que a fs. 19/vta., se dictó sentencia de trance y remate, que se encuentra firme y consentida, donde se condenó a los demandados al pago de la deuda con más su actualización e intereses previstos en los arts. 57 y 66 del Código Fiscal de la Pcia. de Bs. As., modificado por Ley 11.467 y Resoluciones Ministeriales que se dicten en consecuencia.</w:t>
      </w:r>
    </w:p>
    <w:p>
      <w:pPr>
        <w:pStyle w:val="[Normal]"/>
        <w:spacing w:line="480" w:lineRule="auto"/>
        <w:ind w:firstLine="1134"/>
        <w:jc w:val="both"/>
        <w:rPr>
          <w:lang w:val="es-AR" w:eastAsia="es-AR" w:bidi="es-AR"/>
        </w:rPr>
      </w:pPr>
      <w:r>
        <w:rPr>
          <w:lang w:val="es-AR" w:eastAsia="es-AR" w:bidi="es-AR"/>
        </w:rPr>
        <w:t xml:space="preserve">Esta Alzada ha dicho reiteradamente que </w:t>
      </w:r>
      <w:r>
        <w:rPr>
          <w:i/>
          <w:lang w:val="es-AR" w:eastAsia="es-AR" w:bidi="es-AR"/>
        </w:rPr>
        <w:t xml:space="preserve">"Frente a la impronta de orden público y jerarquía constitucional que exhibe la cosa juzgada surgente de la sentencia firme, la liquidación a concretar debe atenerse a las precisas pautas señaladas en la misma, pues la fase ejecutoria ha de estar delimitada por el alcance de la sentencia que dinamiza y, a su vez, legitima la determinación de la suma líquida a oblar, la que surgirá del estricto seguimiento de los parámetros establecidos en la resolución que mandó llevar adelante la ejecución..."</w:t>
      </w:r>
      <w:r>
        <w:rPr>
          <w:lang w:val="es-AR" w:eastAsia="es-AR" w:bidi="es-AR"/>
        </w:rPr>
        <w:t xml:space="preserve"> (CAP causa Nº 1693-13, RSI 80-13 del 11/04/13; causa Nº 2081-14, RSI 83-14 del 22/05/14, RSD 2547 Reg. 64/2016, entre otras).</w:t>
      </w:r>
    </w:p>
    <w:p>
      <w:pPr>
        <w:pStyle w:val="[Normal]"/>
        <w:spacing w:line="480" w:lineRule="auto"/>
        <w:ind w:firstLine="1134"/>
        <w:jc w:val="both"/>
        <w:rPr>
          <w:lang w:val="es-AR" w:eastAsia="es-AR" w:bidi="es-AR"/>
        </w:rPr>
      </w:pPr>
      <w:r>
        <w:rPr>
          <w:lang w:val="es-AR" w:eastAsia="es-AR" w:bidi="es-AR"/>
        </w:rPr>
        <w:t xml:space="preserve">Consecuentemente, aun cuando el apelante insista con la aplicación de la tasa activa Banco de la Prov. de Bs. As restantes operaciones en pesos o el juez a-quo sostenga que la actora no cumplió con la carga de presentar en término la liquidación de su crédito, pese a que nunca fue intimado a ello, o demostrar como debió ser el cálculo correcto; en atención al principio de inmutabilidad de la cosa juzgada deberá estarse a la literalidad de la tasa de interés establecida en la sentencia firme de fs. 19/vta.</w:t>
      </w:r>
    </w:p>
    <w:p>
      <w:pPr>
        <w:pStyle w:val="[Normal]"/>
        <w:spacing w:line="480" w:lineRule="auto"/>
        <w:ind w:firstLine="1134"/>
        <w:jc w:val="both"/>
        <w:rPr>
          <w:lang w:val="es-AR" w:eastAsia="es-AR" w:bidi="es-AR"/>
        </w:rPr>
      </w:pPr>
      <w:r>
        <w:rPr>
          <w:lang w:val="es-AR" w:eastAsia="es-AR" w:bidi="es-AR"/>
        </w:rPr>
        <w:t xml:space="preserve">Ello evidencia el valladar infranqueable que conforman los términos de la sentencia dictada y firme, que no pueden ser modificados estableciéndose una tasa de interés no contemplada en el fallo. Es inviable alterar, en esta etapa procesal, los contenidos de la condena, irrumpiendo los lineamientos prefijados, con la inclusión de una tasa de interés diferente a la que fue fijada en el decisorio firme. En consecuencia, consentida por las partes la sentencia dictada, el ámbito de su ejecución está circunscripto a los límites de la decisión recaída en el proceso de conocimiento y dentro de los términos que producen la eficacia de la cosa juzgada.</w:t>
      </w:r>
    </w:p>
    <w:p>
      <w:pPr>
        <w:pStyle w:val="[Normal]"/>
        <w:spacing w:line="480" w:lineRule="auto"/>
        <w:ind w:firstLine="1134"/>
        <w:jc w:val="both"/>
        <w:rPr>
          <w:lang w:val="es-AR" w:eastAsia="es-AR" w:bidi="es-AR"/>
        </w:rPr>
      </w:pPr>
      <w:r>
        <w:rPr>
          <w:lang w:val="es-AR" w:eastAsia="es-AR" w:bidi="es-AR"/>
        </w:rPr>
        <w:t xml:space="preserve">Resultando de consideración señalar respecto del intento del sentenciante de morigerar los intereses aplicables a la deuda por ingresos brutos, que existiendo una regulación legal específica sobre la tasa de interés de los tributos corresponde su aplicación de conformidad con el art. 768 del Código Civil y Comercial (ídem art. 622 del Código Civil derogado), pues es la tasa legal allí referida, sin perjuicio de que en algún caso esta manda deba ser dejada de lado, en cuanto irrazonable y confiscatoria (inconstitucional), lo que de todas maneras necesitará de suficiente demostración, aunque en la especie la demandada ni siquiera cuestionó la tasa de interés aplicada en el juicio de apremio (conf. doctrina causa C.102.221, sent. de 6-10-2000, entre otras) (conf. SCBA LP B 65185 RSD-171-17 S 20/09/2017 JUBA B95047).</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b/>
          <w:lang w:val="es-AR" w:eastAsia="es-AR" w:bidi="es-AR"/>
        </w:rPr>
      </w:pPr>
      <w:r>
        <w:rPr>
          <w:b/>
          <w:lang w:val="es-AR" w:eastAsia="es-AR" w:bidi="es-AR"/>
        </w:rPr>
        <w:t xml:space="preserve">VOTO POR LA NEGATIVA.</w:t>
      </w:r>
    </w:p>
    <w:p>
      <w:pPr>
        <w:pStyle w:val="[Normal]"/>
        <w:spacing w:line="48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Hacer lugar al recurso de apelación deducido por la actora, y en su mérito, revocar el pronunciamiento impugnado debiéndose practicar una nueva liquidación en la instancia de origen aplicando la tasa de interés establecida en la sentencia firme de fs. 19/vta.</w:t>
      </w:r>
    </w:p>
    <w:p>
      <w:pPr>
        <w:pStyle w:val="[Normal]"/>
        <w:spacing w:line="480" w:lineRule="auto"/>
        <w:ind w:firstLine="1134"/>
        <w:jc w:val="both"/>
        <w:rPr>
          <w:lang w:val="es-AR" w:eastAsia="es-AR" w:bidi="es-AR"/>
        </w:rPr>
      </w:pPr>
      <w:r>
        <w:rPr>
          <w:lang w:val="es-AR" w:eastAsia="es-AR" w:bidi="es-AR"/>
        </w:rPr>
        <w:t xml:space="preserve">Costas de Alzada al demandado (art. 68/9 del CPCC).</w:t>
      </w:r>
    </w:p>
    <w:p>
      <w:pPr>
        <w:pStyle w:val="[Normal]"/>
        <w:spacing w:line="480" w:lineRule="auto"/>
        <w:ind w:firstLine="1134"/>
        <w:jc w:val="both"/>
        <w:rPr>
          <w:lang w:val="es-AR" w:eastAsia="es-AR" w:bidi="es-AR"/>
        </w:rPr>
      </w:pPr>
      <w:r>
        <w:rPr>
          <w:b/>
          <w:lang w:val="es-AR" w:eastAsia="es-AR" w:bidi="es-AR"/>
        </w:rPr>
        <w:t xml:space="preserve">ASI LO VOTO. </w:t>
      </w:r>
    </w:p>
    <w:p>
      <w:pPr>
        <w:pStyle w:val="[Normal]"/>
        <w:spacing w:line="48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b/>
          <w:u w:val="single"/>
          <w:lang w:val="es-AR" w:eastAsia="es-AR" w:bidi="es-AR"/>
        </w:rPr>
      </w:pPr>
      <w:r>
        <w:rPr>
          <w:b/>
          <w:u w:val="single"/>
          <w:lang w:val="es-AR" w:eastAsia="es-AR" w:bidi="es-AR"/>
        </w:rPr>
        <w:t xml:space="preserve">S E N T E N C I A:</w:t>
      </w:r>
    </w:p>
    <w:p>
      <w:pPr>
        <w:pStyle w:val="[Normal]"/>
        <w:spacing w:line="480" w:lineRule="auto"/>
        <w:ind w:firstLine="1134"/>
        <w:jc w:val="both"/>
        <w:rPr>
          <w:lang w:val="es-AR" w:eastAsia="es-AR" w:bidi="es-AR"/>
        </w:rPr>
      </w:pPr>
      <w:r>
        <w:rPr>
          <w:lang w:val="es-AR" w:eastAsia="es-AR" w:bidi="es-AR"/>
        </w:rPr>
        <w:t xml:space="preserve">Hacer lugar al recurso de apelación deducido por la actora, y en su mérito, revocar el pronunciamiento impugnado debiéndose practicar una nueva liquidación en la instancia de origen aplicando la tasa de interés establecida en la sentencia firme de fs. 19/vta.</w:t>
      </w:r>
    </w:p>
    <w:p>
      <w:pPr>
        <w:pStyle w:val="[Normal]"/>
        <w:spacing w:line="480" w:lineRule="auto"/>
        <w:ind w:firstLine="1134"/>
        <w:jc w:val="both"/>
        <w:rPr>
          <w:lang w:val="es-AR" w:eastAsia="es-AR" w:bidi="es-AR"/>
        </w:rPr>
      </w:pPr>
      <w:r>
        <w:rPr>
          <w:lang w:val="es-AR" w:eastAsia="es-AR" w:bidi="es-AR"/>
        </w:rPr>
        <w:t xml:space="preserve">Costas de Alzada al demandado (art. 68/9 del CPCC).</w:t>
      </w:r>
    </w:p>
    <w:p>
      <w:pPr>
        <w:pStyle w:val="[Normal]"/>
        <w:spacing w:line="480" w:lineRule="auto"/>
        <w:ind w:firstLine="1134"/>
        <w:jc w:val="both"/>
        <w:rPr>
          <w:lang w:val="es-AR" w:eastAsia="es-AR" w:bidi="es-AR"/>
        </w:rPr>
      </w:pPr>
      <w:r>
        <w:rPr>
          <w:lang w:val="es-AR" w:eastAsia="es-AR" w:bidi="es-AR"/>
        </w:rPr>
        <w:t xml:space="preserve">Regístrese. Notifíquese. Devuélvase.</w:t>
      </w:r>
    </w:p>
    <w:p>
      <w:pPr>
        <w:pStyle w:val="[Normal]"/>
        <w:spacing w:line="480" w:lineRule="auto"/>
        <w:ind w:firstLine="1134"/>
        <w:jc w:val="both"/>
        <w:rPr>
          <w:color w:val="000000"/>
          <w:lang w:val="es-AR" w:eastAsia="es-AR" w:bidi="es-AR"/>
        </w:rPr>
      </w:pPr>
    </w:p>
    <w:p>
      <w:pPr>
        <w:pStyle w:val="[Normal]"/>
        <w:ind w:firstLine="1134"/>
        <w:jc w:val="right"/>
        <w:rPr>
          <w:b/>
          <w:color w:val="000000"/>
          <w:sz w:val="20"/>
          <w:lang w:val="es-AR" w:eastAsia="es-AR" w:bidi="es-AR"/>
        </w:rPr>
      </w:pPr>
      <w:r>
        <w:rPr>
          <w:b/>
          <w:color w:val="000000"/>
          <w:sz w:val="20"/>
          <w:lang w:val="es-AR" w:eastAsia="es-AR" w:bidi="es-AR"/>
        </w:rPr>
        <w:t xml:space="preserve">Roberto Manuel DEGLEUE               </w:t>
      </w:r>
    </w:p>
    <w:p>
      <w:pPr>
        <w:pStyle w:val="[Normal]"/>
        <w:ind w:firstLine="1134"/>
        <w:jc w:val="right"/>
        <w:rPr>
          <w:b/>
          <w:color w:val="000000"/>
          <w:sz w:val="20"/>
          <w:lang w:val="es-AR" w:eastAsia="es-AR" w:bidi="es-AR"/>
        </w:rPr>
      </w:pPr>
      <w:r>
        <w:rPr>
          <w:b/>
          <w:color w:val="000000"/>
          <w:sz w:val="20"/>
          <w:lang w:val="es-AR" w:eastAsia="es-AR" w:bidi="es-AR"/>
        </w:rPr>
        <w:t xml:space="preserve">Presidente Excma. Cámara de            </w:t>
      </w:r>
    </w:p>
    <w:p>
      <w:pPr>
        <w:pStyle w:val="[Normal]"/>
        <w:ind w:firstLine="1134"/>
        <w:jc w:val="right"/>
        <w:rPr>
          <w:b/>
          <w:color w:val="000000"/>
          <w:sz w:val="20"/>
          <w:lang w:val="es-AR" w:eastAsia="es-AR" w:bidi="es-AR"/>
        </w:rPr>
      </w:pPr>
      <w:r>
        <w:rPr>
          <w:b/>
          <w:color w:val="000000"/>
          <w:sz w:val="20"/>
          <w:lang w:val="es-AR" w:eastAsia="es-AR" w:bidi="es-AR"/>
        </w:rPr>
        <w:t xml:space="preserve">Apelación en lo Civil y Comercial        </w:t>
      </w:r>
    </w:p>
    <w:p>
      <w:pPr>
        <w:pStyle w:val="[Normal]"/>
        <w:ind w:firstLine="1134"/>
        <w:jc w:val="right"/>
        <w:rPr>
          <w:b/>
          <w:color w:val="000000"/>
          <w:sz w:val="20"/>
          <w:lang w:val="es-AR" w:eastAsia="es-AR" w:bidi="es-AR"/>
        </w:rPr>
      </w:pPr>
      <w:r>
        <w:rPr>
          <w:b/>
          <w:color w:val="000000"/>
          <w:sz w:val="20"/>
          <w:lang w:val="es-AR" w:eastAsia="es-AR" w:bidi="es-AR"/>
        </w:rPr>
        <w:t xml:space="preserve">Dpto. Judicial Pergamino                 </w:t>
      </w:r>
    </w:p>
    <w:p>
      <w:pPr>
        <w:pStyle w:val="[Normal]"/>
        <w:ind w:firstLine="1134"/>
        <w:jc w:val="both"/>
        <w:rPr>
          <w:b/>
          <w:color w:val="000000"/>
          <w:sz w:val="20"/>
          <w:lang w:val="es-AR" w:eastAsia="es-AR" w:bidi="es-AR"/>
        </w:rPr>
      </w:pPr>
      <w:r>
        <w:rPr>
          <w:b/>
          <w:color w:val="000000"/>
          <w:sz w:val="20"/>
          <w:lang w:val="es-AR" w:eastAsia="es-AR" w:bidi="es-AR"/>
        </w:rPr>
        <w:t xml:space="preserve">Graciela SCARAFFIA           </w:t>
      </w:r>
    </w:p>
    <w:p>
      <w:pPr>
        <w:pStyle w:val="[Normal]"/>
        <w:ind w:firstLine="1134"/>
        <w:jc w:val="both"/>
        <w:rPr>
          <w:b/>
          <w:color w:val="000000"/>
          <w:sz w:val="20"/>
          <w:lang w:val="es-AR" w:eastAsia="es-AR" w:bidi="es-AR"/>
        </w:rPr>
      </w:pPr>
      <w:r>
        <w:rPr>
          <w:b/>
          <w:color w:val="000000"/>
          <w:sz w:val="20"/>
          <w:lang w:val="es-AR" w:eastAsia="es-AR" w:bidi="es-AR"/>
        </w:rPr>
        <w:t xml:space="preserve">            Jueza   </w:t>
      </w:r>
    </w:p>
    <w:p>
      <w:pPr>
        <w:pStyle w:val="[Normal]"/>
        <w:ind w:firstLine="1134"/>
        <w:jc w:val="center"/>
        <w:rPr>
          <w:b/>
          <w:color w:val="000000"/>
          <w:sz w:val="20"/>
          <w:lang w:val="es-AR" w:eastAsia="es-AR" w:bidi="es-AR"/>
        </w:rPr>
      </w:pPr>
    </w:p>
    <w:p>
      <w:pPr>
        <w:pStyle w:val="[Normal]"/>
        <w:ind w:firstLine="1134"/>
        <w:jc w:val="center"/>
        <w:rPr>
          <w:b/>
          <w:color w:val="000000"/>
          <w:sz w:val="20"/>
          <w:lang w:val="es-AR" w:eastAsia="es-AR" w:bidi="es-AR"/>
        </w:rPr>
      </w:pPr>
    </w:p>
    <w:p>
      <w:pPr>
        <w:pStyle w:val="[Normal]"/>
        <w:ind w:firstLine="1134"/>
        <w:jc w:val="center"/>
        <w:rPr>
          <w:b/>
          <w:color w:val="000000"/>
          <w:sz w:val="20"/>
          <w:lang w:val="es-AR" w:eastAsia="es-AR" w:bidi="es-AR"/>
        </w:rPr>
      </w:pPr>
    </w:p>
    <w:p>
      <w:pPr>
        <w:pStyle w:val="[Normal]"/>
        <w:ind w:firstLine="1134"/>
        <w:jc w:val="center"/>
        <w:rPr>
          <w:b/>
          <w:color w:val="000000"/>
          <w:sz w:val="20"/>
          <w:lang w:val="es-AR" w:eastAsia="es-AR" w:bidi="es-AR"/>
        </w:rPr>
      </w:pPr>
      <w:r>
        <w:rPr>
          <w:b/>
          <w:color w:val="000000"/>
          <w:sz w:val="20"/>
          <w:lang w:val="es-AR" w:eastAsia="es-AR" w:bidi="es-AR"/>
        </w:rPr>
        <w:t xml:space="preserve"> Nicolás MARTINEZ</w:t>
      </w:r>
    </w:p>
    <w:p>
      <w:pPr>
        <w:pStyle w:val="[Normal]"/>
        <w:ind w:firstLine="1134"/>
        <w:jc w:val="center"/>
        <w:rPr>
          <w:color w:val="000000"/>
          <w:lang w:val="es-AR" w:eastAsia="es-AR" w:bidi="es-AR"/>
        </w:rPr>
      </w:pPr>
      <w:r>
        <w:rPr>
          <w:b/>
          <w:color w:val="000000"/>
          <w:sz w:val="20"/>
          <w:lang w:val="es-AR" w:eastAsia="es-AR" w:bidi="es-AR"/>
        </w:rPr>
        <w:t xml:space="preserve">Secretario</w:t>
      </w: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