
<file path=[Content_Types].xml><?xml version="1.0" encoding="utf-8"?>
<Types xmlns="http://schemas.openxmlformats.org/package/2006/content-types">
  <Default Extension="rels" ContentType="application/vnd.openxmlformats-package.relationships+xml"/>
  <Default Extension="xml" ContentType="application/xml"/>
  <Default Extension="jpeg" ContentType="image/jpeg"/>
  <Default Extension="jpg" ContentType="image/jpeg"/>
  <Default Extension="bmp" ContentType="image/x-bmp"/>
  <Default Extension="gif" ContentType="image/gif"/>
  <Default Extension="png" ContentType="image/png"/>
  <Default Extension="tiff" ContentType="image/tiff"/>
  <Default Extension="tif" ContentType="image/tiff"/>
  <Default Extension="wmf" ContentType="image/x-wmf"/>
  <Default Extension="emf" ContentType="image/x-emf"/>
  <Default Extension="bin" ContentType="application/vnd.openxmlformats-officedocument.oleObject"/>
  <Override PartName="/word/document.xml" ContentType="application/vnd.openxmlformats-officedocument.wordprocessingml.document.main+xml"/>
  <Override PartName="/docProps/core.xml" ContentType="application/vnd.openxmlformats-package.core-properties+xml"/>
  <Override PartName="/docProps/app.xml" ContentType="application/vnd.openxmlformats-officedocument.extended-properties+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standalone="yes"?><Relationships xmlns="http://schemas.openxmlformats.org/package/2006/relationships">
	<Relationship Id="rId00001" Type="http://schemas.openxmlformats.org/officeDocument/2006/relationships/officeDocument" Target="word/document.xml"/>
	<Relationship Id="rId00002" Type="http://schemas.openxmlformats.org/package/2006/relationships/metadata/core-properties" Target="docProps/core.xml"/>
	<Relationship Id="rId00003" Type="http://schemas.openxmlformats.org/officeDocument/2006/relationships/extended-properties" Target="docProps/app.xml"/>
</Relationships>
</file>

<file path=word/document.xml><?xml version="1.0" encoding="utf-8"?>
<w:document xmlns:w="http://schemas.openxmlformats.org/wordprocessingml/2006/main" xmlns:r="http://schemas.openxmlformats.org/officeDocument/2006/relationships" xmlns:wp="http://schemas.openxmlformats.org/drawingml/2006/wordprocessingDrawing" xmlns:v="urn:schemas-microsoft-com:vml" xmlns:o="urn:schemas-microsoft-com:office:office" xmlns:w10="urn:schemas-microsoft-com:office:word" xmlns:mc="http://schemas.openxmlformats.org/markup-compatibility/2006" xmlns:w14="http://schemas.microsoft.com/office/word/2010/wordml" xmlns:w15="http://schemas.microsoft.com/office/word/2012/wordml" xmlns:tx19="http://schemas.textcontrol.com/tx/1900" mc:Ignorable="w14 w15 tx19">
  <w:body>
    <w:p>
      <w:pPr>
        <w:pStyle w:val="[Normal]"/>
        <w:spacing w:line="360" w:lineRule="auto"/>
        <w:rPr>
          <w:lang w:val="es-AR" w:eastAsia="es-AR" w:bidi="es-AR"/>
        </w:rPr>
      </w:pPr>
      <w:r>
        <w:rPr>
          <w:sz w:val="20"/>
          <w:lang w:val="es-AR" w:eastAsia="es-AR" w:bidi="es-AR"/>
        </w:rPr>
        <w:t xml:space="preserve"> </w:t>
      </w:r>
      <w:r>
        <w:rPr>
          <w:b/>
          <w:lang w:val="es-AR" w:eastAsia="es-AR" w:bidi="es-AR"/>
        </w:rPr>
        <w:t xml:space="preserve">Registro N° 58  /</w:t>
      </w:r>
      <w:r>
        <w:rPr>
          <w:b/>
          <w:color w:val="000000"/>
          <w:lang w:val="es-AR" w:eastAsia="es-AR" w:bidi="es-AR"/>
        </w:rPr>
        <w:t xml:space="preserve">2019</w:t>
      </w:r>
      <w:r>
        <w:rPr>
          <w:color w:val="000000"/>
          <w:lang w:val="es-AR" w:eastAsia="es-AR" w:bidi="es-AR"/>
        </w:rPr>
        <w:t xml:space="preserve"> </w:t>
      </w:r>
    </w:p>
    <w:p>
      <w:pPr>
        <w:pStyle w:val="[Normal]"/>
        <w:spacing w:line="360" w:lineRule="auto"/>
        <w:jc w:val="both"/>
        <w:rPr>
          <w:lang w:val="es-AR" w:eastAsia="es-AR" w:bidi="es-AR"/>
        </w:rPr>
      </w:pPr>
      <w:r>
        <w:rPr>
          <w:b/>
          <w:lang w:val="es-AR" w:eastAsia="es-AR" w:bidi="es-AR"/>
        </w:rPr>
        <w:t xml:space="preserve">	Fojas 361/373</w:t>
      </w:r>
      <w:r>
        <w:rPr>
          <w:lang w:val="es-AR" w:eastAsia="es-AR" w:bidi="es-AR"/>
        </w:rPr>
        <w:t xml:space="preserve">            </w:t>
      </w:r>
    </w:p>
    <w:p>
      <w:pPr>
        <w:pStyle w:val="[Normal]"/>
        <w:spacing w:line="360" w:lineRule="auto"/>
        <w:jc w:val="both"/>
        <w:rPr>
          <w:lang w:val="es-AR" w:eastAsia="es-AR" w:bidi="es-AR"/>
        </w:rPr>
      </w:pPr>
    </w:p>
    <w:p>
      <w:pPr>
        <w:pStyle w:val="[Normal]"/>
        <w:spacing w:line="480" w:lineRule="auto"/>
        <w:ind w:firstLine="1134"/>
        <w:jc w:val="both"/>
        <w:rPr>
          <w:lang w:val="es-AR" w:eastAsia="es-AR" w:bidi="es-AR"/>
        </w:rPr>
      </w:pPr>
      <w:r>
        <w:rPr>
          <w:lang w:val="es-AR" w:eastAsia="es-AR" w:bidi="es-AR"/>
        </w:rPr>
        <w:t xml:space="preserve">En la ciudad de Pergamino, el  09      de mayo de </w:t>
      </w:r>
      <w:r>
        <w:rPr>
          <w:color w:val="000000"/>
          <w:lang w:val="es-AR" w:eastAsia="es-AR" w:bidi="es-AR"/>
        </w:rPr>
        <w:t xml:space="preserve">2019</w:t>
      </w:r>
      <w:r>
        <w:rPr>
          <w:lang w:val="es-AR" w:eastAsia="es-AR" w:bidi="es-AR"/>
        </w:rPr>
        <w:t xml:space="preserve">, reunidos en Acuerdo Ordinario los Sres. Jueces de la Excma. Cámara de Apelación en lo Civil y Comercial del Departamento Judicial Pergamino, para dictar sentencia en la causa N° </w:t>
      </w:r>
      <w:r>
        <w:rPr>
          <w:b/>
          <w:color w:val="000000"/>
          <w:lang w:val="es-AR" w:eastAsia="es-AR" w:bidi="es-AR"/>
        </w:rPr>
        <w:t xml:space="preserve">3545-19</w:t>
      </w:r>
      <w:r>
        <w:rPr>
          <w:lang w:val="es-AR" w:eastAsia="es-AR" w:bidi="es-AR"/>
        </w:rPr>
        <w:t xml:space="preserve"> caratulada</w:t>
      </w:r>
      <w:r>
        <w:rPr>
          <w:b/>
          <w:lang w:val="es-AR" w:eastAsia="es-AR" w:bidi="es-AR"/>
        </w:rPr>
        <w:t xml:space="preserve"> "</w:t>
      </w:r>
      <w:r>
        <w:rPr>
          <w:b/>
          <w:color w:val="000000"/>
          <w:lang w:val="es-AR" w:eastAsia="es-AR" w:bidi="es-AR"/>
        </w:rPr>
        <w:t xml:space="preserve">FLORIDA SUR S.R.L.  C/ DI MATTEO CARLOS ALBERTO S/ COBRO EJECUTIVO</w:t>
      </w:r>
      <w:r>
        <w:rPr>
          <w:b/>
          <w:lang w:val="es-AR" w:eastAsia="es-AR" w:bidi="es-AR"/>
        </w:rPr>
        <w:t xml:space="preserve">",</w:t>
      </w:r>
      <w:r>
        <w:rPr>
          <w:lang w:val="es-AR" w:eastAsia="es-AR" w:bidi="es-AR"/>
        </w:rPr>
        <w:t xml:space="preserve"> Expte. </w:t>
      </w:r>
      <w:r>
        <w:rPr>
          <w:color w:val="000000"/>
          <w:lang w:val="es-AR" w:eastAsia="es-AR" w:bidi="es-AR"/>
        </w:rPr>
        <w:t xml:space="preserve">82049 </w:t>
      </w:r>
      <w:r>
        <w:rPr>
          <w:lang w:val="es-AR" w:eastAsia="es-AR" w:bidi="es-AR"/>
        </w:rPr>
        <w:t xml:space="preserve">del Juzgado Civil y Comercial n° 2 departamental, se practicó el sorteo de ley que determinó que la votación debía efectuarse en el siguiente orden: Roberto Manuel Degleue y Graciela Scaraffia, y estudiados los autos se resolvió plantear y votar las siguientes: </w:t>
      </w:r>
    </w:p>
    <w:p>
      <w:pPr>
        <w:pStyle w:val="[Normal]"/>
        <w:spacing w:line="480" w:lineRule="auto"/>
        <w:ind w:firstLine="1134"/>
        <w:jc w:val="both"/>
        <w:rPr>
          <w:lang w:val="es-AR" w:eastAsia="es-AR" w:bidi="es-AR"/>
        </w:rPr>
      </w:pPr>
      <w:r>
        <w:rPr>
          <w:b/>
          <w:u w:val="single"/>
          <w:lang w:val="es-AR" w:eastAsia="es-AR" w:bidi="es-AR"/>
        </w:rPr>
        <w:t xml:space="preserve">C U E S T I O N E S:</w:t>
      </w:r>
    </w:p>
    <w:p>
      <w:pPr>
        <w:pStyle w:val="[Normal]"/>
        <w:spacing w:line="480" w:lineRule="auto"/>
        <w:ind w:firstLine="1134"/>
        <w:jc w:val="both"/>
        <w:rPr>
          <w:lang w:val="es-AR" w:eastAsia="es-AR" w:bidi="es-AR"/>
        </w:rPr>
      </w:pPr>
      <w:r>
        <w:rPr>
          <w:lang w:val="es-AR" w:eastAsia="es-AR" w:bidi="es-AR"/>
        </w:rPr>
        <w:t xml:space="preserve">I) ¿Se ajusta a derecho la  sentencia apelada?</w:t>
      </w:r>
    </w:p>
    <w:p>
      <w:pPr>
        <w:pStyle w:val="[Normal]"/>
        <w:spacing w:line="480" w:lineRule="auto"/>
        <w:ind w:firstLine="1134"/>
        <w:jc w:val="both"/>
        <w:rPr>
          <w:lang w:val="es-AR" w:eastAsia="es-AR" w:bidi="es-AR"/>
        </w:rPr>
      </w:pPr>
      <w:r>
        <w:rPr>
          <w:lang w:val="es-AR" w:eastAsia="es-AR" w:bidi="es-AR"/>
        </w:rPr>
        <w:t xml:space="preserve">II) ¿Qué pronunciamiento  corresponde dictar?</w:t>
      </w:r>
    </w:p>
    <w:p>
      <w:pPr>
        <w:pStyle w:val="[Normal]"/>
        <w:spacing w:line="480" w:lineRule="auto"/>
        <w:ind w:firstLine="1134"/>
        <w:jc w:val="both"/>
        <w:rPr>
          <w:lang w:val="es-AR" w:eastAsia="es-AR" w:bidi="es-AR"/>
        </w:rPr>
      </w:pPr>
      <w:r>
        <w:rPr>
          <w:lang w:val="es-AR" w:eastAsia="es-AR" w:bidi="es-AR"/>
        </w:rPr>
        <w:t xml:space="preserve">A la primera cuestión el señor Juez Roberto Manuel Degleue dijo:</w:t>
      </w:r>
    </w:p>
    <w:p>
      <w:pPr>
        <w:pStyle w:val="[Normal]"/>
        <w:spacing w:line="480" w:lineRule="auto"/>
        <w:ind w:firstLine="1134"/>
        <w:jc w:val="both"/>
        <w:rPr>
          <w:lang w:val="es-AR" w:eastAsia="es-AR" w:bidi="es-AR"/>
        </w:rPr>
      </w:pPr>
      <w:r>
        <w:rPr>
          <w:lang w:val="es-AR" w:eastAsia="es-AR" w:bidi="es-AR"/>
        </w:rPr>
        <w:t xml:space="preserve">En la especie el señor Juez de la instancia anterior falló desestimando la presente acción ejecutiva, por resultar inhábil el título, al considerar que entre las partes existió una relación de consumo y el título base de la presente ejecución no reúne los requisitos dispuestos por el art. 36 de la Ley de Consumo. Con costas al perdidoso, a cuyos efectos, tomando como base arancelaria el monto del reclamo inicial, reguló los honorarios de los profesionales y a la perito interviniente, e  intimó a los obligados al pago a fin de que en el término de diez días depositen en autos los emolumentos fijados a los peritos oficiales intervinientes en la cuenta corriente del Banco de la Prov. de Bs. As. Suc. Centro, bajo apercibimiento de ejecución. Ordenó el levantamiento de la medida cautelar ordenada a fs. 54, y librar oficio a la entidad empleadora, dejándose constancia de personas autorizadas para su diligenciamiento.</w:t>
      </w:r>
    </w:p>
    <w:p>
      <w:pPr>
        <w:pStyle w:val="[Normal]"/>
        <w:spacing w:line="480" w:lineRule="auto"/>
        <w:ind w:firstLine="1134"/>
        <w:jc w:val="both"/>
        <w:rPr>
          <w:lang w:val="es-AR" w:eastAsia="es-AR" w:bidi="es-AR"/>
        </w:rPr>
      </w:pPr>
      <w:r>
        <w:rPr>
          <w:lang w:val="es-AR" w:eastAsia="es-AR" w:bidi="es-AR"/>
        </w:rPr>
        <w:t xml:space="preserve">Dedujo apelación la parte actora mediante el escrito electrónico de fecha 03/12/2018, concedido en relación y fundado en el acto de interposición. Corrido el traslado de la memoria, a fs. 106/9 contesta los agravios la demandada. Elevados los autos a fs. 110, se dicta la providencia de autos para sentencia en fecha 26/2/2019, la que firme deja la causa en condiciones de ser fallada.</w:t>
      </w:r>
    </w:p>
    <w:p>
      <w:pPr>
        <w:pStyle w:val="[Normal]"/>
        <w:spacing w:line="480" w:lineRule="auto"/>
        <w:ind w:firstLine="1134"/>
        <w:jc w:val="both"/>
        <w:rPr>
          <w:lang w:val="es-AR" w:eastAsia="es-AR" w:bidi="es-AR"/>
        </w:rPr>
      </w:pPr>
      <w:r>
        <w:rPr>
          <w:lang w:val="es-AR" w:eastAsia="es-AR" w:bidi="es-AR"/>
        </w:rPr>
        <w:t xml:space="preserve">En su memorial, la ejecutante principia su queja señalando que el fallo en crisis vulnera el derecho de propiedad de su poderdante y afecta la regulación vigente en materia ejecutiva.</w:t>
      </w:r>
    </w:p>
    <w:p>
      <w:pPr>
        <w:pStyle w:val="[Normal]"/>
        <w:spacing w:line="480" w:lineRule="auto"/>
        <w:ind w:firstLine="1134"/>
        <w:jc w:val="both"/>
        <w:rPr>
          <w:lang w:val="es-AR" w:eastAsia="es-AR" w:bidi="es-AR"/>
        </w:rPr>
      </w:pPr>
      <w:r>
        <w:rPr>
          <w:lang w:val="es-AR" w:eastAsia="es-AR" w:bidi="es-AR"/>
        </w:rPr>
        <w:t xml:space="preserve">Sostiene asimismo, que el demandado intenta evadir obligaciones asumidas mediante un planteo forzado que es respaldado por el </w:t>
      </w:r>
      <w:r>
        <w:rPr>
          <w:i/>
          <w:lang w:val="es-AR" w:eastAsia="es-AR" w:bidi="es-AR"/>
        </w:rPr>
        <w:t xml:space="preserve">a quo</w:t>
      </w:r>
      <w:r>
        <w:rPr>
          <w:lang w:val="es-AR" w:eastAsia="es-AR" w:bidi="es-AR"/>
        </w:rPr>
        <w:t xml:space="preserve">, enumerando una serie de cuestionables argumentos, los que enmarca en primer término, en la incorrecta extensión de la doctrina legal de la Suprema Corte de Justicia, citando un fallo del Superior Tribunal, sobre el cual sentó postura en materia de declaración oficiosa de incompetencia, afirmando que dicha jurisprudencia no invalida al título ejecutivo como tal; 2) no respeta los lineamientos de la Alzada departamental, haciendo mención a un antecedente en el que se consideró hábil el título base de aquella ejecución, en base a que la Ley de Defensa del Consumidor (en adelante LDC) no prohíbe el libramiento de títulos de crédito y no contiene regulación alguna a su respecto. 3) De tal modo, entiende  que el juez de primera instancia proscribe pretorianamente una conducta que la legislación vigente no prohíbe, atentando así contra los principios básicos del sistema republicano (art. 72, inc. 12 C.N). 4) Que, ante la excepción planteada por el ejecutado, la carga de la prueba de la defensa planteada corresponde al excepcionante (art. 547 del CPC), y ella no ha sido cumplida en la instancia anterior, 5) En consecuencia, el juez de grado, por medio de conjeturas y presunciones de primer y segundo grado, tiene por demostrada la existencia de una relación de consumo entre las partes, 6) Señala que el </w:t>
      </w:r>
      <w:r>
        <w:rPr>
          <w:i/>
          <w:lang w:val="es-AR" w:eastAsia="es-AR" w:bidi="es-AR"/>
        </w:rPr>
        <w:t xml:space="preserve">a quo</w:t>
      </w:r>
      <w:r>
        <w:rPr>
          <w:lang w:val="es-AR" w:eastAsia="es-AR" w:bidi="es-AR"/>
        </w:rPr>
        <w:t xml:space="preserve">, incurre en autocontradicciones al rechazar el ofrecimiento de prueba realizado por el ejecutante, atento al acotado marco cognitivo del presente proceso, sin embargo luego tiene por acreditada una relación de consumo que va más allá del título base de la ejecución y por no cumplidos los requisitos establecidos en el art. 36 de la LDC, y 7) tachado de inhábil el título, omite resolver los efectos de la nulidad y no contempla los efectos económicos que derivan de la decisión adoptada por el sentenciante. En definitiva, se agravia de que el título base de la presente ejecución -pagaré- es considerado un mecanismo para eludir las reglas de orden público de la ley 24.240 y se lo tacha de inhábil, rechazando la ejecución, con costas al ejecutante. </w:t>
      </w:r>
    </w:p>
    <w:p>
      <w:pPr>
        <w:pStyle w:val="[Normal]"/>
        <w:spacing w:line="480" w:lineRule="auto"/>
        <w:ind w:firstLine="1134"/>
        <w:jc w:val="both"/>
        <w:rPr>
          <w:lang w:val="es-AR" w:eastAsia="es-AR" w:bidi="es-AR"/>
        </w:rPr>
      </w:pPr>
      <w:r>
        <w:rPr>
          <w:lang w:val="es-AR" w:eastAsia="es-AR" w:bidi="es-AR"/>
        </w:rPr>
        <w:t xml:space="preserve">Por último, peticiona se haga lugar al recurso de apelación planteado y se despache favorablemente la presente ejecución, aplicando la multa dispuesta por el art. 529 del CPC, con más los intereses, costos y costas a la demandada.</w:t>
      </w:r>
    </w:p>
    <w:p>
      <w:pPr>
        <w:pStyle w:val="[Normal]"/>
        <w:spacing w:line="480" w:lineRule="auto"/>
        <w:ind w:firstLine="1134"/>
        <w:jc w:val="both"/>
        <w:rPr>
          <w:lang w:val="es-AR" w:eastAsia="es-AR" w:bidi="es-AR"/>
        </w:rPr>
      </w:pPr>
      <w:r>
        <w:rPr>
          <w:lang w:val="es-AR" w:eastAsia="es-AR" w:bidi="es-AR"/>
        </w:rPr>
        <w:t xml:space="preserve">Por su parte la demandada, al contestar el traslado, solicita se desestimen los agravios de la actora, con expresa imposición de costas y se confirme la sentencia dictada.</w:t>
      </w:r>
    </w:p>
    <w:p>
      <w:pPr>
        <w:pStyle w:val="[Normal]"/>
        <w:spacing w:line="480" w:lineRule="auto"/>
        <w:ind w:firstLine="1134"/>
        <w:jc w:val="both"/>
        <w:rPr>
          <w:lang w:val="es-AR" w:eastAsia="es-AR" w:bidi="es-AR"/>
        </w:rPr>
      </w:pPr>
      <w:r>
        <w:rPr>
          <w:lang w:val="es-AR" w:eastAsia="es-AR" w:bidi="es-AR"/>
        </w:rPr>
        <w:t xml:space="preserve">Que a los fines de tratar los agravios  planteados por la ejecutante procederé a ordenarlos de tal modo que me lleven a culminar con un razonamiento ordenado a los fines de arribar a una resolución coherente con la normativa aplicable al caso, la doctrina y jurisprudencia existente.</w:t>
      </w:r>
    </w:p>
    <w:p>
      <w:pPr>
        <w:pStyle w:val="[Normal]"/>
        <w:spacing w:line="480" w:lineRule="auto"/>
        <w:ind w:firstLine="1134"/>
        <w:jc w:val="both"/>
        <w:rPr>
          <w:lang w:val="es-AR" w:eastAsia="es-AR" w:bidi="es-AR"/>
        </w:rPr>
      </w:pPr>
      <w:r>
        <w:rPr>
          <w:b/>
          <w:lang w:val="es-AR" w:eastAsia="es-AR" w:bidi="es-AR"/>
        </w:rPr>
        <w:t xml:space="preserve">Respecto al agravio sobre las contradicciones al rechazar la prueba y luego aplicar la LDC</w:t>
      </w:r>
      <w:r>
        <w:rPr>
          <w:lang w:val="es-AR" w:eastAsia="es-AR" w:bidi="es-AR"/>
        </w:rPr>
        <w:t xml:space="preserve">: Que en resumidas cuentas, el ejecutante se agravia respecto a la aplicación de la Ley 24.240 al título base de la presente entrando de tal modo a analizarse la causa de la obligación. Sin embargo, destaca que el </w:t>
      </w:r>
      <w:r>
        <w:rPr>
          <w:i/>
          <w:lang w:val="es-AR" w:eastAsia="es-AR" w:bidi="es-AR"/>
        </w:rPr>
        <w:t xml:space="preserve">a quo</w:t>
      </w:r>
      <w:r>
        <w:rPr>
          <w:lang w:val="es-AR" w:eastAsia="es-AR" w:bidi="es-AR"/>
        </w:rPr>
        <w:t xml:space="preserve"> rechazó la prueba ofrecida a tales fines por la ejecutada al plantear la excepción de inhabilidad.  </w:t>
      </w:r>
    </w:p>
    <w:p>
      <w:pPr>
        <w:pStyle w:val="[Normal]"/>
        <w:spacing w:line="480" w:lineRule="auto"/>
        <w:ind w:firstLine="1134"/>
        <w:jc w:val="both"/>
        <w:rPr>
          <w:lang w:val="es-AR" w:eastAsia="es-AR" w:bidi="es-AR"/>
        </w:rPr>
      </w:pPr>
      <w:r>
        <w:rPr>
          <w:lang w:val="es-AR" w:eastAsia="es-AR" w:bidi="es-AR"/>
        </w:rPr>
        <w:t xml:space="preserve">Entrando a resolver la cuestión traída a esta alzada, es preciso partir de la base, que en este tipo de procesos, el juez de primera instancia posee la facultad de analizar el título, aún en los casos donde no  se ha planteado por parte del ejecutado alguna excepción como defensa, al momento de dictar sentencia. Es que el juzgador debe examinar cuidadosamente la bondad ejecutiva y certidumbre del título que se pretende ejecutar, pues corresponde al beneficiario tenedor del mismo, acreditar que resulta merecedor del trato privilegiado que le concede la ley (Arg. doctr. Roberto Alfredo Muguillo, en "Revista de Derecho Privado y Comunitario", n°2005-3, Rubinzal-Culzoni, Santa Fe, 2005, ps. 176 y 177). </w:t>
      </w:r>
    </w:p>
    <w:p>
      <w:pPr>
        <w:pStyle w:val="[Normal]"/>
        <w:spacing w:line="480" w:lineRule="auto"/>
        <w:ind w:firstLine="1134"/>
        <w:jc w:val="both"/>
        <w:rPr>
          <w:lang w:val="es-AR" w:eastAsia="es-AR" w:bidi="es-AR"/>
        </w:rPr>
      </w:pPr>
      <w:r>
        <w:rPr>
          <w:lang w:val="es-AR" w:eastAsia="es-AR" w:bidi="es-AR"/>
        </w:rPr>
        <w:t xml:space="preserve">Ello así, </w:t>
      </w:r>
      <w:r>
        <w:rPr>
          <w:i/>
          <w:lang w:val="es-AR" w:eastAsia="es-AR" w:bidi="es-AR"/>
        </w:rPr>
        <w:t xml:space="preserve">"El juez puede evaluar los requisitos para la procedencia del juicio ejecutivo en tres oportunidades: En primer término al inicio de la demanda, en segundo término en el caso de que el demandado oponga las defensas permitidas por la ley, y en tercer lugar, en el momento de dictar la correspondiente sentencia de trance y remate" </w:t>
      </w:r>
      <w:r>
        <w:rPr>
          <w:lang w:val="es-AR" w:eastAsia="es-AR" w:bidi="es-AR"/>
        </w:rPr>
        <w:t xml:space="preserve">(CC0002 LM 208 RSI-34-2 I 23/04/2002 Juez RODRIGUEZ (SD) JUBA B3400231).-</w:t>
      </w:r>
    </w:p>
    <w:p>
      <w:pPr>
        <w:pStyle w:val="[Normal]"/>
        <w:spacing w:line="480" w:lineRule="auto"/>
        <w:ind w:firstLine="1134"/>
        <w:jc w:val="both"/>
        <w:rPr>
          <w:lang w:val="es-AR" w:eastAsia="es-AR" w:bidi="es-AR"/>
        </w:rPr>
      </w:pPr>
      <w:r>
        <w:rPr>
          <w:lang w:val="es-AR" w:eastAsia="es-AR" w:bidi="es-AR"/>
        </w:rPr>
        <w:t xml:space="preserve">"</w:t>
      </w:r>
      <w:r>
        <w:rPr>
          <w:i/>
          <w:lang w:val="es-AR" w:eastAsia="es-AR" w:bidi="es-AR"/>
        </w:rPr>
        <w:t xml:space="preserve">Es deber del Juez reexaminar el título al tiempo de la sentencia. La circunstancia de haberse dado curso a la ejecución, no obsta a la posibilidad de un nuevo análisis de la habilidad del título al momento del dictado de la sentencia. Es que el examen del instrumento, no reviste el carácter definitivo ni genera, en consecuencia, preclusión alguna, toda vez que puede volver a efectuarse -como se dijera- en la oportunidad de dictarse sentencia"</w:t>
      </w:r>
      <w:r>
        <w:rPr>
          <w:lang w:val="es-AR" w:eastAsia="es-AR" w:bidi="es-AR"/>
        </w:rPr>
        <w:t xml:space="preserve"> (conf. CC0001 LZ 67017 RSD-65-10 S 27/04/2010 JUBA B2551554).-</w:t>
      </w:r>
    </w:p>
    <w:p>
      <w:pPr>
        <w:pStyle w:val="[Normal]"/>
        <w:spacing w:line="480" w:lineRule="auto"/>
        <w:ind w:firstLine="1134"/>
        <w:jc w:val="both"/>
        <w:rPr>
          <w:lang w:val="es-AR" w:eastAsia="es-AR" w:bidi="es-AR"/>
        </w:rPr>
      </w:pPr>
      <w:r>
        <w:rPr>
          <w:lang w:val="es-AR" w:eastAsia="es-AR" w:bidi="es-AR"/>
        </w:rPr>
        <w:t xml:space="preserve">Por los fundamentos dados, se rechaza el planteo referido a la arbitrariedad y contradicción por parte del juzgador primero (arts. 529, 540, 542, 549 y concs. del C.P.C.C.).</w:t>
      </w:r>
    </w:p>
    <w:p>
      <w:pPr>
        <w:pStyle w:val="[Normal]"/>
        <w:spacing w:line="480" w:lineRule="auto"/>
        <w:ind w:firstLine="1134"/>
        <w:jc w:val="both"/>
        <w:rPr>
          <w:lang w:val="es-AR" w:eastAsia="es-AR" w:bidi="es-AR"/>
        </w:rPr>
      </w:pPr>
      <w:r>
        <w:rPr>
          <w:b/>
          <w:lang w:val="es-AR" w:eastAsia="es-AR" w:bidi="es-AR"/>
        </w:rPr>
        <w:t xml:space="preserve">Relación de consumo y pagaré</w:t>
      </w:r>
      <w:r>
        <w:rPr>
          <w:lang w:val="es-AR" w:eastAsia="es-AR" w:bidi="es-AR"/>
        </w:rPr>
        <w:t xml:space="preserve">: Sentado lo anterior, corresponde enmarcar la cuestión a debate la cual reside en la aplicación de la LDC, que contiene preceptos de orden público destinados a resguardar el derecho de defensa en juicio de la parte que el legislador ha considerado la "parte débil" en la contratación celebrada (art. 14, 18 y 42 de la Constitución Nacional, art. 15 y 38 de la Provincial, 1, 2 y 65 de la ley 24.240y 1092 de la C.C.C.N), frente a la legislación que regula la acción cambiaria por vía ejecutiva (Dec. Ley 5965/63 y CPCC), que establece límites para el análisis de la causal de la obligación del título en aras de tutelar el crédito que originó la caratular. En definitiva, determinar si en el caso traído a juzgamiento nos encontramos frente a un pagaré celebrado entre sujetos en igualdad de condiciones o, como determinó el juez de primera instancia, ante un pagaré de consumo donde hay una desigualdad entre las partes intervinientes, es decir un proveedor -sujeto fuerte- y un consumidor -parte débil- en el negocio que tiene como base una relación de consumo. </w:t>
      </w:r>
    </w:p>
    <w:p>
      <w:pPr>
        <w:pStyle w:val="[Normal]"/>
        <w:spacing w:line="480" w:lineRule="auto"/>
        <w:ind w:firstLine="1134"/>
        <w:jc w:val="both"/>
        <w:rPr>
          <w:i/>
          <w:lang w:val="es-AR" w:eastAsia="es-AR" w:bidi="es-AR"/>
        </w:rPr>
      </w:pPr>
      <w:r>
        <w:rPr>
          <w:lang w:val="es-AR" w:eastAsia="es-AR" w:bidi="es-AR"/>
        </w:rPr>
        <w:t xml:space="preserve">Originariamente, "</w:t>
      </w:r>
      <w:r>
        <w:rPr>
          <w:i/>
          <w:lang w:val="es-AR" w:eastAsia="es-AR" w:bidi="es-AR"/>
        </w:rPr>
        <w:t xml:space="preserve">el pagaré fue utilizado en sus comienzos para facilitar el movimiento y traspaso de dinero entre comerciantes. Su función fue la de agilizar las relaciones comerciales entre partes que gozaban entre si de una cierta igualdad.</w:t>
      </w:r>
    </w:p>
    <w:p>
      <w:pPr>
        <w:pStyle w:val="[Normal]"/>
        <w:spacing w:line="480" w:lineRule="auto"/>
        <w:ind w:firstLine="1134"/>
        <w:jc w:val="both"/>
        <w:rPr>
          <w:i/>
          <w:lang w:val="es-AR" w:eastAsia="es-AR" w:bidi="es-AR"/>
        </w:rPr>
      </w:pPr>
      <w:r>
        <w:rPr>
          <w:i/>
          <w:lang w:val="es-AR" w:eastAsia="es-AR" w:bidi="es-AR"/>
        </w:rPr>
        <w:t xml:space="preserve">El nuevo debate en la materia se centra en determinar si el título de crédito puede constituirse válidamente teniendo como parte a un consumidor, o simplemente es utilizado como una herramienta que busca evadir el régimen de tutela preventiva que corporiza el art. 36, en cuanto establece bajo pena de nulidad, el cumplimiento de una serie de requisitos destinados a la información y concientización del consumidor, respecto del riesgo que asume al suscribir un crédito de consumo. </w:t>
      </w:r>
    </w:p>
    <w:p>
      <w:pPr>
        <w:pStyle w:val="[Normal]"/>
        <w:spacing w:line="480" w:lineRule="auto"/>
        <w:ind w:firstLine="1134"/>
        <w:jc w:val="both"/>
        <w:rPr>
          <w:lang w:val="es-AR" w:eastAsia="es-AR" w:bidi="es-AR"/>
        </w:rPr>
      </w:pPr>
      <w:r>
        <w:rPr>
          <w:i/>
          <w:lang w:val="es-AR" w:eastAsia="es-AR" w:bidi="es-AR"/>
        </w:rPr>
        <w:t xml:space="preserve">No se debe olvidar, una vez más, que el art. 36 de la ley 24240 es una herramienta de política económica estatal, que busca a través de la información clara y precisa intentar combatir el sobreendeudamiento al que se expone el consumidor, explicitando desde el inicio el tenor y la magnitud real de la deuda que en ese acto se está asumiendo, a fin de que pueda cotejar válidamente su capacidad económica"</w:t>
      </w:r>
      <w:r>
        <w:rPr>
          <w:lang w:val="es-AR" w:eastAsia="es-AR" w:bidi="es-AR"/>
        </w:rPr>
        <w:t xml:space="preserve"> (Conf. Federico M. Alvarez Larrondo. Gonzalo M. Rodriguez., Manual de Derecho del Consumo.  Ed. Erreius. 5.1.2. El pagaré de consumo: utilización impropia del título. Pag. 597).</w:t>
      </w:r>
    </w:p>
    <w:p>
      <w:pPr>
        <w:pStyle w:val="[Normal]"/>
        <w:spacing w:line="480" w:lineRule="auto"/>
        <w:ind w:firstLine="1134"/>
        <w:jc w:val="both"/>
        <w:rPr>
          <w:lang w:val="es-AR" w:eastAsia="es-AR" w:bidi="es-AR"/>
        </w:rPr>
      </w:pPr>
      <w:r>
        <w:rPr>
          <w:lang w:val="es-AR" w:eastAsia="es-AR" w:bidi="es-AR"/>
        </w:rPr>
        <w:t xml:space="preserve">Que el art. 1 de la Ley 24240 define al consumidor como la persona física o jurídica  que adquiere o utiliza bienes o servicios en forma gratuita u onerosa como destinatario final, en beneficio propio o de su grupo familiar, y dicha definición fue receptada por el nuevo Código Civil y Comercial de la Nación en su art. 1092.  </w:t>
      </w:r>
    </w:p>
    <w:p>
      <w:pPr>
        <w:pStyle w:val="[Normal]"/>
        <w:spacing w:line="480" w:lineRule="auto"/>
        <w:ind w:firstLine="1134"/>
        <w:jc w:val="both"/>
        <w:rPr>
          <w:lang w:val="es-AR" w:eastAsia="es-AR" w:bidi="es-AR"/>
        </w:rPr>
      </w:pPr>
      <w:r>
        <w:rPr>
          <w:i/>
          <w:lang w:val="es-AR" w:eastAsia="es-AR" w:bidi="es-AR"/>
        </w:rPr>
        <w:t xml:space="preserve">"Es decir, el consumidor tutelado por la Ley 24.240 es la persona que adquiere o utiliza bienes o servicios cuyo destino final es quedar dentro de su ámbito personal, familiar, doméstico o social, sin ser posteriormente empleados en un proceso de producción o comercialización orientado a reingresarlos al mercado"</w:t>
      </w:r>
      <w:r>
        <w:rPr>
          <w:lang w:val="es-AR" w:eastAsia="es-AR" w:bidi="es-AR"/>
        </w:rPr>
        <w:t xml:space="preserve"> (conf. Juan M. Farina, “Defensa del consumidor y del usuario”, págs. 50/53).</w:t>
      </w:r>
    </w:p>
    <w:p>
      <w:pPr>
        <w:pStyle w:val="[Normal]"/>
        <w:spacing w:line="480" w:lineRule="auto"/>
        <w:ind w:firstLine="1134"/>
        <w:jc w:val="both"/>
        <w:rPr>
          <w:lang w:val="es-AR" w:eastAsia="es-AR" w:bidi="es-AR"/>
        </w:rPr>
      </w:pPr>
      <w:r>
        <w:rPr>
          <w:lang w:val="es-AR" w:eastAsia="es-AR" w:bidi="es-AR"/>
        </w:rPr>
        <w:t xml:space="preserve">Coincidentemente, Fulvio G. Santarelli expuso que</w:t>
      </w:r>
      <w:r>
        <w:rPr>
          <w:i/>
          <w:lang w:val="es-AR" w:eastAsia="es-AR" w:bidi="es-AR"/>
        </w:rPr>
        <w:t xml:space="preserve"> “...el consumo final alude a una transacción que se da fuera del marco de la actividad profesional de la persona, ya que no va a involucrar el bien o servicio adquirido en otra actividad con fines de lucro o en otro proceso productivo. De esta forma todas las operaciones jurídicas realizadas sin motivos profesionales están alcanzadas por la normativa tutelar” </w:t>
      </w:r>
      <w:r>
        <w:rPr>
          <w:lang w:val="es-AR" w:eastAsia="es-AR" w:bidi="es-AR"/>
        </w:rPr>
        <w:t xml:space="preserve">(“Ley de defensa del consumidor comentada y anotada”. Directores Picasso-Vazquez Ferreyra”, T.I, pág.30).</w:t>
      </w:r>
    </w:p>
    <w:p>
      <w:pPr>
        <w:pStyle w:val="[Normal]"/>
        <w:spacing w:line="480" w:lineRule="auto"/>
        <w:ind w:firstLine="1134"/>
        <w:jc w:val="both"/>
        <w:rPr>
          <w:lang w:val="es-AR" w:eastAsia="es-AR" w:bidi="es-AR"/>
        </w:rPr>
      </w:pPr>
      <w:r>
        <w:rPr>
          <w:lang w:val="es-AR" w:eastAsia="es-AR" w:bidi="es-AR"/>
        </w:rPr>
        <w:t xml:space="preserve">En base a lo arriba expuesto, y atento a lo resuelto por el juez de primera instancia, es preciso analizar si en nuestro caso ha existido una relación de consumo entre la ejecutante y el ejecutado, que diere origen al pagaré que se pretende ejecutar. Ahora bien, de la documental obrante en la causa, Fs. 6/7 donde obra agregado el contrato social de la actora Florida Sur S.R.L., surge que </w:t>
      </w:r>
      <w:r>
        <w:rPr>
          <w:i/>
          <w:lang w:val="es-AR" w:eastAsia="es-AR" w:bidi="es-AR"/>
        </w:rPr>
        <w:t xml:space="preserve">"ARTÍCULO TERCERO: La sociedad tiene por objeto, ya sea por cuenta propia y/o de terceros, y/o asociada a terceros en el país o en el extranjero a las siguientes actividades: a)COMERCIAL... b) explotación... c) importación-exportación. d) el ejercicio de todo tipo de mandatos...e) explotación de establecimientos rurales... f) Transporte... g) constructora, h) inmobiliaria y financiera: la realización de operaciones inmobiliarias, financieras y de inversión con exclusión de las previstas en la Ley de Entidades Financieras y toda otra que requiera der concurso público, u) publicidad en todas sus formas, j) actuar como consultora...."</w:t>
      </w:r>
      <w:r>
        <w:rPr>
          <w:lang w:val="es-AR" w:eastAsia="es-AR" w:bidi="es-AR"/>
        </w:rPr>
        <w:t xml:space="preserve">. Es decir, que analizando el objeto social de la propia ejecutante, tenemos que la misma se dedica profesionalmente  a prestar servicios financieros. Sumado a ello, y haciendo una consulta en los ingresos mediante los registros informáticos de la MEV (Consulta Local), surge que la ejecutante tiene iniciadas sólo en esta departamental, más de 250 causas por cobros ejecutivos, y en su mayoría contra personas físicas. </w:t>
      </w:r>
    </w:p>
    <w:p>
      <w:pPr>
        <w:pStyle w:val="[Normal]"/>
        <w:spacing w:line="480" w:lineRule="auto"/>
        <w:ind w:firstLine="1134"/>
        <w:jc w:val="both"/>
        <w:rPr>
          <w:lang w:val="es-AR" w:eastAsia="es-AR" w:bidi="es-AR"/>
        </w:rPr>
      </w:pPr>
      <w:r>
        <w:rPr>
          <w:lang w:val="es-AR" w:eastAsia="es-AR" w:bidi="es-AR"/>
        </w:rPr>
        <w:t xml:space="preserve">A su vez, entrando a analizar el título base de la presente ejecución, el cual se encuentra agregado en copia a fs. 13, su texto consigna que: "...</w:t>
      </w:r>
      <w:r>
        <w:rPr>
          <w:i/>
          <w:lang w:val="es-AR" w:eastAsia="es-AR" w:bidi="es-AR"/>
        </w:rPr>
        <w:t xml:space="preserve">el día 3 de Noviembre de 2017 pagaré sin protesto a Florida Sur S.R.L. o a su orden la suma de treinta y seis mil ochocientos por igual valor recibido en concepto de prestación de servicios efectuados a entera conformidad....</w:t>
      </w:r>
      <w:r>
        <w:rPr>
          <w:lang w:val="es-AR" w:eastAsia="es-AR" w:bidi="es-AR"/>
        </w:rPr>
        <w:t xml:space="preserve">". Que de todas esas constataciones no tengo más que tener por cierto que el pagaré en ejecución fue librado en el marco de una operación de crédito para consumo (conf. art. 1, 2, 3, 36 y ccdts. de la ley 24.240, art. 7, 1092 y ccdtes. del C.C.C. y arts. 375, 384 y ccdts. del CPCC).</w:t>
      </w:r>
    </w:p>
    <w:p>
      <w:pPr>
        <w:pStyle w:val="[Normal]"/>
        <w:spacing w:line="480" w:lineRule="auto"/>
        <w:ind w:firstLine="1134"/>
        <w:jc w:val="both"/>
        <w:rPr>
          <w:lang w:val="es-AR" w:eastAsia="es-AR" w:bidi="es-AR"/>
        </w:rPr>
      </w:pPr>
      <w:r>
        <w:rPr>
          <w:i/>
          <w:lang w:val="es-AR" w:eastAsia="es-AR" w:bidi="es-AR"/>
        </w:rPr>
        <w:t xml:space="preserve">"Nuestro ordenamiento legal entiende por pagaré al título cambiario que se basta a si mismo, en virtud de los caracteres que le son propios: necesidad, literalidad y autonomía, cumpliendo con los requisitos dispuestos por el art. 101 del Decreto-Ley N° 5965. En ningún momento, nuestra legislación regula algún tipo de pagaré considerado de consumo. No obstante, la doctrina y sobre todo la jurisprudencia, fueron elaborando este concepto de “pagaré de consumo”, entendiendo este como el pagaré instrumentado como un crédito con fines de consumo, los cuales no cumplirían los requisitos dispuestos por la L.D.C. -especialmente con los requisitos del art. 36-."</w:t>
      </w:r>
      <w:r>
        <w:rPr>
          <w:lang w:val="es-AR" w:eastAsia="es-AR" w:bidi="es-AR"/>
        </w:rPr>
        <w:t xml:space="preserve"> (conf. Peroni Cornes, Natali B.; "Controversia de los denominados pagarés de consumo", Publicación:    Revista de Derecho Bancario y Financiero - Número 43 - Noviembre 2018 Fecha: 28-11-2018 Cita: IJ-DXLII-776).- </w:t>
      </w:r>
    </w:p>
    <w:p>
      <w:pPr>
        <w:pStyle w:val="[Normal]"/>
        <w:spacing w:line="480" w:lineRule="auto"/>
        <w:ind w:firstLine="1134"/>
        <w:jc w:val="both"/>
        <w:rPr>
          <w:lang w:val="es-AR" w:eastAsia="es-AR" w:bidi="es-AR"/>
        </w:rPr>
      </w:pPr>
      <w:r>
        <w:rPr>
          <w:lang w:val="es-AR" w:eastAsia="es-AR" w:bidi="es-AR"/>
        </w:rPr>
        <w:t xml:space="preserve">En definitiva, en nuestro marco normativo, no existe  articulado que específicamente se ocupe de aquellos casos donde se produzca el libramiento de un título de crédito abstracto como es el pagaré, cuya causa esté constituída por una relación de consumo a los que la doctrina y amplia jurisprudencia han llamado pagaré de consumo.</w:t>
      </w:r>
    </w:p>
    <w:p>
      <w:pPr>
        <w:pStyle w:val="[Normal]"/>
        <w:spacing w:line="480" w:lineRule="auto"/>
        <w:ind w:firstLine="1134"/>
        <w:jc w:val="both"/>
        <w:rPr>
          <w:lang w:val="es-AR" w:eastAsia="es-AR" w:bidi="es-AR"/>
        </w:rPr>
      </w:pPr>
      <w:r>
        <w:rPr>
          <w:lang w:val="es-AR" w:eastAsia="es-AR" w:bidi="es-AR"/>
        </w:rPr>
        <w:t xml:space="preserve">Como ya refiriera más arriba, en tales supuestos, existe una colisión entre dos ordenamientos, por un lado el derecho del consumidor, constitucionalmente amparado (art. 42 C.N) reglamentado por la Ley 24.240 y por el nuevo Código Civil y Comercial, que específicamente protege a aquellos que reúnen la condición de consumidor en las operaciones de créditos por consumo; y por el otro lado, el derecho cambiario (dec. Ley 5969/63 y ccdtes.) que regula el régimen de los instrumentos de crédito abstractos, en cuya ejecución se encuentra vedado como regla, todo análisis y discusión sobre la causa de la obligación (art. 542 del C.P.C.C). El juzgador debe procurar ante estos casos, lograr una congruencia entre el sistema de protección establecido en la ley de defensa del consumidor y las disposiciones adjetivas que impiden en el ámbito de los procesos de ejecución la discusión de la causa de la obligación. En definitiva, ello implica verificar en cada caso si es posible extender la eficacia del art. 36 de la ley 24.240, más allá de las acciones sustentadas en instrumentos causales, en donde el juez puede saltar la barrera del título y entrar a analizar el negocio que dio origen al instrumento, y si en ese caso se cumplió con los recaudos previstos en la LDC.</w:t>
      </w:r>
    </w:p>
    <w:p>
      <w:pPr>
        <w:pStyle w:val="[Normal]"/>
        <w:spacing w:line="480" w:lineRule="auto"/>
        <w:ind w:firstLine="1134"/>
        <w:jc w:val="both"/>
        <w:rPr>
          <w:lang w:val="es-AR" w:eastAsia="es-AR" w:bidi="es-AR"/>
        </w:rPr>
      </w:pPr>
      <w:r>
        <w:rPr>
          <w:lang w:val="es-AR" w:eastAsia="es-AR" w:bidi="es-AR"/>
        </w:rPr>
        <w:t xml:space="preserve">En el presente el accionante resulta encuadrable dentro de la noción de proveedor (art. 2 de la Ley 24.240), el demandado en el de consumidor y con ello se deberá aplicar la ley 24.240 como se anticipara precedentemente. Tiene dicho el más Alto Tribunal Provincial que,</w:t>
      </w:r>
      <w:r>
        <w:rPr>
          <w:i/>
          <w:lang w:val="es-AR" w:eastAsia="es-AR" w:bidi="es-AR"/>
        </w:rPr>
        <w:t xml:space="preserve"> "cuando la pretensión ejecutiva tiene arraigo en una relación de crédito para el consumo, es posible y necesario interpretar las normas procesales, de modo compatible con los principios derivados de la legislación de protección de usuarios, es lo que la doctrina considera diálogo de fuentes"</w:t>
      </w:r>
      <w:r>
        <w:rPr>
          <w:lang w:val="es-AR" w:eastAsia="es-AR" w:bidi="es-AR"/>
        </w:rPr>
        <w:t xml:space="preserve"> (arts. 1, 2, 36 y 37 ley 24.240, modif. por ley 26.361; arg. jurispr. SCBA Rc. 109305, in re "Cuevas Eduardo Alberto c. Salcedo Alejandro René s/ Cobro Ejecutivo", del 1/09/10; doctr. Juan Carlos Cabaña García, Los procesos Civiles sobre consumidores y usuarios y de control de las cláusulas generales de los contratos, Tecnos, Madrid, 2005, p.21).</w:t>
      </w:r>
    </w:p>
    <w:p>
      <w:pPr>
        <w:pStyle w:val="[Normal]"/>
        <w:spacing w:line="480" w:lineRule="auto"/>
        <w:ind w:firstLine="1134"/>
        <w:jc w:val="both"/>
        <w:rPr>
          <w:lang w:val="es-AR" w:eastAsia="es-AR" w:bidi="es-AR"/>
        </w:rPr>
      </w:pPr>
      <w:r>
        <w:rPr>
          <w:lang w:val="es-AR" w:eastAsia="es-AR" w:bidi="es-AR"/>
        </w:rPr>
        <w:t xml:space="preserve">Que en virtud de las constancias habidas en la causa, puedo afirmar sin temor a equivocarme que la ejecutante resulta una persona jurídica dedicada profesionalmente a prestar servicios financieros a personas físicas y que conforme lo manifestara la ejecutada al plantear su excepción de inhabilidad, ella se ha presentado en los locales comerciales de la ejecutante solicitando un crédito, con la sola presentación de su DNI, y que luego de firmar contratos preestipulados y el pagaré en blanco, accedió a un crédito a baja tasa de interés. </w:t>
      </w:r>
    </w:p>
    <w:p>
      <w:pPr>
        <w:pStyle w:val="[Normal]"/>
        <w:spacing w:line="480" w:lineRule="auto"/>
        <w:ind w:firstLine="1134"/>
        <w:jc w:val="both"/>
        <w:rPr>
          <w:lang w:val="es-AR" w:eastAsia="es-AR" w:bidi="es-AR"/>
        </w:rPr>
      </w:pPr>
      <w:r>
        <w:rPr>
          <w:lang w:val="es-AR" w:eastAsia="es-AR" w:bidi="es-AR"/>
        </w:rPr>
        <w:t xml:space="preserve">Por todo lo anterior, se presume a partir de la calidad de las partes involucradas en las actuaciones que el vínculo subyacente efectivamente se trata de una operación de crédito para consumo, en la que no medió por parte del ejecutante el cumplimiento de la obligación de dar debida información al tomador del crédito, y con ello dar acabado cumplimiento a lo prescripto en el art. 36 de la LDC (Cfr. Arg. Jurispr. CNCom., en pleno, in re "Autoconvocatoria a plenario s/ Competencia del fuero Comercial en los supuestos de ejecución de títulos cambiarios en que se invoquen derechos de consumidores. Sent. del 26/06/11).</w:t>
      </w:r>
    </w:p>
    <w:p>
      <w:pPr>
        <w:pStyle w:val="[Normal]"/>
        <w:spacing w:line="480" w:lineRule="auto"/>
        <w:ind w:firstLine="1134"/>
        <w:jc w:val="both"/>
        <w:rPr>
          <w:lang w:val="es-AR" w:eastAsia="es-AR" w:bidi="es-AR"/>
        </w:rPr>
      </w:pPr>
      <w:r>
        <w:rPr>
          <w:b/>
          <w:lang w:val="es-AR" w:eastAsia="es-AR" w:bidi="es-AR"/>
        </w:rPr>
        <w:t xml:space="preserve">Jurisprudencia citada por el juez de primera instancia: </w:t>
      </w:r>
      <w:r>
        <w:rPr>
          <w:lang w:val="es-AR" w:eastAsia="es-AR" w:bidi="es-AR"/>
        </w:rPr>
        <w:t xml:space="preserve">La ejecutante se agravia en cuanto considera que no es aplicable a este caso el criterio del Superior Provincial, toda vez que lo sostenido en el fallo citado por el sub judice ha sido en el marco de análisis sobre la competencia. Lo cierto es que, sí al analizar la competencia se ha considerado que corresponde la aplicación de la Ley de Defensa del Consumidor, con más razón, se deberá analizar la validez del título bajo la misma lupa de análisis al momento de sentenciar. Por ello, no nos debemos apartar de los argumentos allí vertidos, en oportunidad de expedirse en sentido favorable a la aplicación de la LDC al analizar la competencia en los procesos ejecutivos, buscando una armonía entre lo que expresamente prevee la LDC y lo que por otro lado sostiene la ley cambiaria. Expresó el Dr. Pettigiani en la causa “Cuevas” (SCBA, C. 109.305, del 1/9/2010) que: </w:t>
      </w:r>
      <w:r>
        <w:rPr>
          <w:i/>
          <w:lang w:val="es-AR" w:eastAsia="es-AR" w:bidi="es-AR"/>
        </w:rPr>
        <w:t xml:space="preserve">“… los conocidos caracteres de necesidad, formalidad, literalidad, completitud, autonomía y abstracción del título, habría importado contravenir palmariamente la finalidad específica de la tutela establecida por el orden público del consumo (arts. 36 y 65, ley 24.240, según texto ley 26.361; arg. arts. 21, 953, 1071, Cód. Civil; también Mosset Iturraspe, Jorge, "El fraude a la ley", en Revista de Derecho Privado y Comunitario, n° 4, Rubinzal - Culzoni, 1998, pág. 7 y ss.; conf. mi voto en C. 109.193, cit.)" </w:t>
      </w:r>
    </w:p>
    <w:p>
      <w:pPr>
        <w:pStyle w:val="[Normal]"/>
        <w:spacing w:line="480" w:lineRule="auto"/>
        <w:ind w:firstLine="1134"/>
        <w:jc w:val="both"/>
        <w:rPr>
          <w:lang w:val="es-AR" w:eastAsia="es-AR" w:bidi="es-AR"/>
        </w:rPr>
      </w:pPr>
      <w:r>
        <w:rPr>
          <w:lang w:val="es-AR" w:eastAsia="es-AR" w:bidi="es-AR"/>
        </w:rPr>
        <w:t xml:space="preserve">La interpretación propiciada, aplicable al tema en juzgamiento, no desnaturaliza el juicio ejecutivo sino que armoniza las reglas y principios del derecho cambiario con el régimen de consumo, ante la presencia de elementos serios y adecuadamente justificados que permitan inferir la existencia de una relación de consumo (Sagüés, Néstor P “Interpretación constitucional y alquimia constitucional -El arsenal argumentativo de los Tribunales Supremos-, Revista Iberoamericana de Derecho Procesal Constitucional, n° 1, Enero-Junio 2004, pág. 161 citado en “Cuevas”). </w:t>
      </w:r>
    </w:p>
    <w:p>
      <w:pPr>
        <w:pStyle w:val="[Normal]"/>
        <w:spacing w:line="480" w:lineRule="auto"/>
        <w:ind w:firstLine="1134"/>
        <w:jc w:val="both"/>
        <w:rPr>
          <w:lang w:val="es-AR" w:eastAsia="es-AR" w:bidi="es-AR"/>
        </w:rPr>
      </w:pPr>
      <w:r>
        <w:rPr>
          <w:lang w:val="es-AR" w:eastAsia="es-AR" w:bidi="es-AR"/>
        </w:rPr>
        <w:t xml:space="preserve">Por lo arriba expuesto, el agravio respecto a la jurisprudencia enunciada en su fallo por el sentenciante de grado inferior debe ser rechazado, más aún cuando lo dicho en esa instancia, ha sido citado por varios casos jurisprudenciales donde ahora si, se resuelven cuestiones procesales tales como intimaciones a integrar el título base de la ejecución (pagaré) con el resto de la documentación que forma parte del negocio jurídico celebrado entre las partes (Credil SRL c/ Cubilla Eliseo s/ Cobro Ejecutivo,  Sala Primera de la Cámara Segunda de Apelaciones, La Plata, Reg. Sent. N° 301/16, Libro Sentencias LXXII. Jdo. 17); Cám. Civil y Com. Azul, Sala II, causas 58.639, 29/5/2014, RSD. 55/2014; 59.596, 14/5/2015, RSD. 58/2015; Cám. Civ. y Com. Junín, causa 2304, RSD. 56/2015).</w:t>
      </w:r>
    </w:p>
    <w:p>
      <w:pPr>
        <w:pStyle w:val="[Normal]"/>
        <w:spacing w:line="480" w:lineRule="auto"/>
        <w:ind w:firstLine="1134"/>
        <w:jc w:val="both"/>
        <w:rPr>
          <w:lang w:val="es-AR" w:eastAsia="es-AR" w:bidi="es-AR"/>
        </w:rPr>
      </w:pPr>
      <w:r>
        <w:rPr>
          <w:lang w:val="es-AR" w:eastAsia="es-AR" w:bidi="es-AR"/>
        </w:rPr>
        <w:t xml:space="preserve">Recientemente, la Cámara de Azul dictó un plenario que aborda este tema, donde se ha velado por el cumplimiento de los requisitos establecidos por el art. 36 en las ejecuciones basadas en títulos abstractos creados como consecuencia de una relación de consumo, permitiendo integrar el título base de la ejecución con la documentación necesaria que acredite el cumplimiento de la obligación de información adecuada al consumidor y exhortando a los legisladores a dictar una ley que regule el pagaré de consumo. Paso a transcribir lo resuelto en el plenario: </w:t>
      </w:r>
      <w:r>
        <w:rPr>
          <w:i/>
          <w:lang w:val="es-AR" w:eastAsia="es-AR" w:bidi="es-AR"/>
        </w:rPr>
        <w:t xml:space="preserve">"... como consecuencia de la votación que antecede, el Tribunal por mayoría resuelve fijar la siguiente doctrina: El pagaré de consumo puede integrarse con documentación adicional relativa al negocio causal, dentro del mismo juicio ejecutivo, conformando un título complejo que deberá contener información clara y veraz, y además cumplir con los requisitos previstos en el art. 36 de la LDC para las operaciones de financiación o crédito para el consumo. Dicha documentación debe agregarse en primera instancia, hasta el momento de la sentencia, sin que se admita su integración en la alzada. Los intereses pactados que surjan del título complejo no podrán exceder el límite de la ganancia lícita. Asimismo, resulta oportuno poner en conocimiento del legislador, a la manera de comunicación exhortativa, la conveniencia de regular el denominado pagaré de consumo."</w:t>
      </w:r>
      <w:r>
        <w:rPr>
          <w:lang w:val="es-AR" w:eastAsia="es-AR" w:bidi="es-AR"/>
        </w:rPr>
        <w:t xml:space="preserve"> (Causa "HSBC Bank Argentina c/ Pardo Cristian Daniel s/ Cobro Ejecutivo", Cámara de Apelaciones en lo Civil y Comercial de Azul, En Pleno, Azul 09/03/17, Cita: MJ-JU-M-103221-AR  MJJ103221).</w:t>
      </w:r>
    </w:p>
    <w:p>
      <w:pPr>
        <w:pStyle w:val="[Normal]"/>
        <w:spacing w:line="480" w:lineRule="auto"/>
        <w:ind w:firstLine="1134"/>
        <w:jc w:val="both"/>
        <w:rPr>
          <w:lang w:val="es-AR" w:eastAsia="es-AR" w:bidi="es-AR"/>
        </w:rPr>
      </w:pPr>
      <w:r>
        <w:rPr>
          <w:lang w:val="es-AR" w:eastAsia="es-AR" w:bidi="es-AR"/>
        </w:rPr>
        <w:t xml:space="preserve">Por otro lado, es preciso resaltar  que el nuevo Código Civil y Comercial de la Nación ha contemplado este tipo de relación de consumo en su art. 1094 (aplicable a nuestro caso por encontrarnos frente a una relación de consumo -Conf. art. 7 in fine del CCC):</w:t>
      </w:r>
      <w:r>
        <w:rPr>
          <w:i/>
          <w:lang w:val="es-AR" w:eastAsia="es-AR" w:bidi="es-AR"/>
        </w:rPr>
        <w:t xml:space="preserve"> "En caso de duda sobre la interpretación de este código o las leyes especiales, prevalece la más favorable al consumidor".</w:t>
      </w:r>
      <w:r>
        <w:rPr>
          <w:lang w:val="es-AR" w:eastAsia="es-AR" w:bidi="es-AR"/>
        </w:rPr>
        <w:t xml:space="preserve"> Ello en consonancia con lo normado por el art. 3 de la LDC. En definitiva, las normas que regulan las relaciones de consumo deben ser aplicadas e interpretadas conforme con el principio de protección del consumidor y el de acceso al consumo sustentable y que en caso de dudas sobre la interpretación, prevalece la más favorable al consumidor. Que a la luz de tales lineamientos, habré de considerar aplicables las exigencias del art. 36 de la ley 24.240 (t.o. ley 26361) a las ejecuciones basada en títulos abstractos creados como consecuencia de operaciones de crédito para consumo (doctr. art. 42 de la Const. Nacional y art. 65 de la Ley 24.240).</w:t>
      </w:r>
    </w:p>
    <w:p>
      <w:pPr>
        <w:pStyle w:val="[Normal]"/>
        <w:spacing w:line="480" w:lineRule="auto"/>
        <w:ind w:firstLine="1134"/>
        <w:jc w:val="both"/>
        <w:rPr>
          <w:lang w:val="es-AR" w:eastAsia="es-AR" w:bidi="es-AR"/>
        </w:rPr>
      </w:pPr>
      <w:r>
        <w:rPr>
          <w:b/>
          <w:lang w:val="es-AR" w:eastAsia="es-AR" w:bidi="es-AR"/>
        </w:rPr>
        <w:t xml:space="preserve">Apartamiento del criterio de esta alzada:</w:t>
      </w:r>
      <w:r>
        <w:rPr>
          <w:lang w:val="es-AR" w:eastAsia="es-AR" w:bidi="es-AR"/>
        </w:rPr>
        <w:t xml:space="preserve"> Entrando luego a analizar el agravio respecto a que el juez que previno no se ha ajustado en su decisión al criterio de esta Alzada en la causa a la cual hace referencia, debo adelantar opinión en cuanto a que la cuestión allí planteada difiere de la presente.</w:t>
      </w:r>
    </w:p>
    <w:p>
      <w:pPr>
        <w:pStyle w:val="[Normal]"/>
        <w:spacing w:line="480" w:lineRule="auto"/>
        <w:ind w:firstLine="1134"/>
        <w:jc w:val="both"/>
        <w:rPr>
          <w:lang w:val="es-AR" w:eastAsia="es-AR" w:bidi="es-AR"/>
        </w:rPr>
      </w:pPr>
      <w:r>
        <w:rPr>
          <w:lang w:val="es-AR" w:eastAsia="es-AR" w:bidi="es-AR"/>
        </w:rPr>
        <w:t xml:space="preserve">Ello por cuanto, y haciendo una breve reseña sobre el particular, en la causa caratulada "MUTUAL DE LOS ASOC. AL CLUB SOCIAL Y DEP. INDEP. DE SGTO. CABRAL  C/ ALE ADRIAN ALBERTO S/COBRO EJECUTIVO", la ejecutante inició la ejecución en el domicilio del deudor, respetando de tal modo lo dispuesto por el art. 5 del CPCC y la LDC, para el caso de que se presuma una relación de consumo y en cumplimiento de lo preceptuado en el art. 36 de la LDC. Que en aquella oportunidad, ante la falencia probatoria por parte del  demandado, se le rechazó la excepción y se despachó favorablemente la ejecución. A su vez, se dejó allí establecido que: </w:t>
      </w:r>
      <w:r>
        <w:rPr>
          <w:i/>
          <w:lang w:val="es-AR" w:eastAsia="es-AR" w:bidi="es-AR"/>
        </w:rPr>
        <w:t xml:space="preserve">"La LDC no prohíbe el libramiento de títulos de crédito, ni contiene regulación alguna  sobre los mismos. En consecuencia,  resultan en principio válidos las cartulares emitidas razón de una relación de consumo (art. 19 CN),  resultando aplicable a las mismas la legislación específica en la materia, en este caso el Decreto Ley 5965/63 que regula la Letra de Cambio y Pagaré así como los arts. 518 y ss -en especial  el art. 521 inc. 5º- del CPCC. En virtud de tal normativa,  poseen la literalidad, autonomía y abstracción propia de los títulos de crédito, así como su fuerza ejecutiva...Y al demandado le incumbe la prueba de las defensas que hubiese opuesto (arts. 375, 547 párrafo segundo y ccs. CPCC).  Al respecto cabe recordar que si bien el ritual veda en principio al mismo articular alguna defensa que se relacione con la existencia o la legitimidad del crédito reconocido en el título, la jurisprudencia ha declarado que tal regla no puede llevarse al extremo de admitir una condena fundada en una deuda inexistente (arts. 540, 542, 543, 547 párrafo segundo y ccs. CPCC) cfr. Morello, Códigos Procesales Comentados, Tª VI-B, Bs.As.996, pág. 187 y ss). Dado que aquí ha invocado la aplicabilidad de la Ley del Consumidor y el  art. 3 de dicha norma prevé la integración normativa del régimen de protección al consumidor y la preeminencia de la misma sobre otras reglas legales eventualmente aplicables por el carácter de orden público que su art. 65 establece, incumbía al accionado la demostración de que la obligación que se ejecuta se hubiese podido modificar o  ser declarada sin efecto alguno en todo o en parte por no reunir los recaudos exigidos por la Ley del Consumidor, por no tener una causa lícita o por cualquier vicio que pudiese afectarla. No habiendo desplegado el demandado actividad probatoria alguna, sólo corresponde estarse a la prueba documental acompañada por la actora.</w:t>
      </w:r>
      <w:r>
        <w:rPr>
          <w:lang w:val="es-AR" w:eastAsia="es-AR" w:bidi="es-AR"/>
        </w:rPr>
        <w:t xml:space="preserve">" . </w:t>
      </w:r>
    </w:p>
    <w:p>
      <w:pPr>
        <w:pStyle w:val="[Normal]"/>
        <w:spacing w:line="480" w:lineRule="auto"/>
        <w:ind w:firstLine="1134"/>
        <w:jc w:val="both"/>
        <w:rPr>
          <w:lang w:val="es-AR" w:eastAsia="es-AR" w:bidi="es-AR"/>
        </w:rPr>
      </w:pPr>
      <w:r>
        <w:rPr>
          <w:lang w:val="es-AR" w:eastAsia="es-AR" w:bidi="es-AR"/>
        </w:rPr>
        <w:t xml:space="preserve">A su vez, siguiendo ese mismo lineamiento, en reiteradas oportunidades este tribunal se ha pronunciado respecto a la aplicación de la LDC en casos de competencia en los cobros ejecutivos, teniendo como juez competente al del domicilio del demandado consumidor (causas 1397, 1898 y 1399, entre otras).</w:t>
      </w:r>
    </w:p>
    <w:p>
      <w:pPr>
        <w:pStyle w:val="[Normal]"/>
        <w:spacing w:line="480" w:lineRule="auto"/>
        <w:ind w:firstLine="1134"/>
        <w:jc w:val="both"/>
        <w:rPr>
          <w:lang w:val="es-AR" w:eastAsia="es-AR" w:bidi="es-AR"/>
        </w:rPr>
      </w:pPr>
      <w:r>
        <w:rPr>
          <w:lang w:val="es-AR" w:eastAsia="es-AR" w:bidi="es-AR"/>
        </w:rPr>
        <w:t xml:space="preserve">Si bien esta Alzada no ha tratado en forma puntual el pagaré de consumo hasta ahora, la doctrina e incluso la jurisprudencia han avanzado de tal modo que me llevan a cambiar el cristal con el que he de examinar este tipo de títulos abstractos, los cuales ahora no sólo deberán ser analizados por la ley cambiaria, sino también deberán ser abordados con los lineamientos previstos por el art. 36 de la LDC. </w:t>
      </w:r>
    </w:p>
    <w:p>
      <w:pPr>
        <w:pStyle w:val="[Normal]"/>
        <w:spacing w:line="480" w:lineRule="auto"/>
        <w:ind w:firstLine="1134"/>
        <w:jc w:val="both"/>
        <w:rPr>
          <w:lang w:val="es-AR" w:eastAsia="es-AR" w:bidi="es-AR"/>
        </w:rPr>
      </w:pPr>
      <w:r>
        <w:rPr>
          <w:lang w:val="es-AR" w:eastAsia="es-AR" w:bidi="es-AR"/>
        </w:rPr>
        <w:t xml:space="preserve">Así surgiendo que el pagaré fue emitido en una presunta relación de consumo, no cabe más que ahondar en el tema, y analizar a las partes firmantes del título, para en definitiva arribar a la conclusión de que en este caso particular, la accionante resulta encuadrable en la noción de proveedor (art.2 de ley 24.240) y el demandado en la de consumidor. Ello junto a lo que surge del estatuto constitutivo de la actora y sumado a ello la multiplicidad de procesos del mismo tipo en esta departamental, conducen a la aplicación al caso de la ley 24.240. </w:t>
      </w:r>
    </w:p>
    <w:p>
      <w:pPr>
        <w:pStyle w:val="[Normal]"/>
        <w:spacing w:line="480" w:lineRule="auto"/>
        <w:ind w:firstLine="1134"/>
        <w:jc w:val="both"/>
        <w:rPr>
          <w:lang w:val="es-AR" w:eastAsia="es-AR" w:bidi="es-AR"/>
        </w:rPr>
      </w:pPr>
      <w:r>
        <w:rPr>
          <w:lang w:val="es-AR" w:eastAsia="es-AR" w:bidi="es-AR"/>
        </w:rPr>
        <w:t xml:space="preserve">Por lo expuesto, considero que la resolución apelada se ajusta a derecho y es concordante con los pronunciamientos referidos.</w:t>
      </w:r>
    </w:p>
    <w:p>
      <w:pPr>
        <w:pStyle w:val="[Normal]"/>
        <w:spacing w:line="480" w:lineRule="auto"/>
        <w:ind w:firstLine="1134"/>
        <w:jc w:val="both"/>
        <w:rPr>
          <w:lang w:val="es-AR" w:eastAsia="es-AR" w:bidi="es-AR"/>
        </w:rPr>
      </w:pPr>
      <w:r>
        <w:rPr>
          <w:lang w:val="es-AR" w:eastAsia="es-AR" w:bidi="es-AR"/>
        </w:rPr>
        <w:t xml:space="preserve">Es que, </w:t>
      </w:r>
      <w:r>
        <w:rPr>
          <w:i/>
          <w:lang w:val="es-AR" w:eastAsia="es-AR" w:bidi="es-AR"/>
        </w:rPr>
        <w:t xml:space="preserve">"los títulos de créditos abstractos (letra de cambio, cheque y pagaré), donde la causa es irrelevante, no deben ser utilizados como un mecanismos para gambetear la aplicación del art. 36, LDC, máxime cuando el cumplimiento de tales recaudos no lleva necesariamente a restarle eficacia al documento como título ejecutivo. Se podrá decir que la acción cambiaria se ha visto afectada con la introducción de aspectos causales, pero no que la procedencia de la vía ejecutiva ha sido cercenada, en la medida que se cumplan todos los recaudos legales necesarios, tanto de la legislación cambiaria (requisitos formales extrínsecos) como del estatuto del consumo ( reglas de orden publico contenidas en el art. 36). En consecuencia, considero que el pagaré de consumo debe integrarse con la información requerida pro el art. 36, ya que ello hace la habilidad del título. La aptitud ejecutiva del título con el cual se deduce la ejecución debe ser analizada por el juez como director del proceso al despachar la ejecución (primer despacho, lo cual hace a la eficacia de su labor), sin perjuicio, de que lo puede hacer hasta el dictado de la sentencia, lo cual impone permitir que el ejecutante integre el título con la documentación respectiva -ello en virtud de la falta de regulación legislativa expresa y en aras del principio de seguridad jurídica (art. 42 de C.N,  38 Const. Prov. ; 1, 2, 36 y 65 de LDC, 34 inc. 5, 384, 529 y 549 del CPCC)"</w:t>
      </w:r>
      <w:r>
        <w:rPr>
          <w:lang w:val="es-AR" w:eastAsia="es-AR" w:bidi="es-AR"/>
        </w:rPr>
        <w:t xml:space="preserve"> ("Mejor Crédito S.R.L. c/ Rossi Diego Martin s/ Cobro Ejecutivo" Causa N° 120.271- Reg. Sent. 221/16, Sala Primera de la Cámara Segunda de Apelación, La Plata, 10/08/16, Voto. Dr. Sosa Aubone).</w:t>
      </w:r>
    </w:p>
    <w:p>
      <w:pPr>
        <w:pStyle w:val="[Normal]"/>
        <w:spacing w:line="480" w:lineRule="auto"/>
        <w:ind w:firstLine="1134"/>
        <w:jc w:val="both"/>
        <w:rPr>
          <w:lang w:val="es-AR" w:eastAsia="es-AR" w:bidi="es-AR"/>
        </w:rPr>
      </w:pPr>
      <w:r>
        <w:rPr>
          <w:lang w:val="es-AR" w:eastAsia="es-AR" w:bidi="es-AR"/>
        </w:rPr>
        <w:t xml:space="preserve">A la luz de lo arriba expuesto, llegando a la instancia de analizar el pagaré objeto de la presente ejecución (fs. 13), de una simple lectura del mismo se vislumbra que no cumplimenta con los requisitos establecidos por el art. 36 de la LDC, al no individualizarse: el monto financiado, la tasa de interés efectiva anual, el total de los intereses a pagar o el costo financiero total, el sistema de amortización del capital y cancelación de intereses, ni la cantidad, periodicidad y monto de los pagos a realizar.</w:t>
      </w:r>
    </w:p>
    <w:p>
      <w:pPr>
        <w:pStyle w:val="[Normal]"/>
        <w:spacing w:line="480" w:lineRule="auto"/>
        <w:ind w:firstLine="1134"/>
        <w:jc w:val="both"/>
        <w:rPr>
          <w:lang w:val="es-AR" w:eastAsia="es-AR" w:bidi="es-AR"/>
        </w:rPr>
      </w:pPr>
      <w:r>
        <w:rPr>
          <w:b/>
          <w:lang w:val="es-AR" w:eastAsia="es-AR" w:bidi="es-AR"/>
        </w:rPr>
        <w:t xml:space="preserve">Presunciones de las que parte el juez de primera instancia:</w:t>
      </w:r>
      <w:r>
        <w:rPr>
          <w:lang w:val="es-AR" w:eastAsia="es-AR" w:bidi="es-AR"/>
        </w:rPr>
        <w:t xml:space="preserve"> Respecto al agravio relativo a que el juez parte de presunciones de primer y de segundo grado, es doctrina reiterada que ante la acreditación fehaciente de la calidad de las partes, se presuma la existencia de una relación de consumo.</w:t>
      </w:r>
    </w:p>
    <w:p>
      <w:pPr>
        <w:pStyle w:val="[Normal]"/>
        <w:spacing w:line="480" w:lineRule="auto"/>
        <w:ind w:firstLine="1134"/>
        <w:jc w:val="both"/>
        <w:rPr>
          <w:lang w:val="es-AR" w:eastAsia="es-AR" w:bidi="es-AR"/>
        </w:rPr>
      </w:pPr>
      <w:r>
        <w:rPr>
          <w:i/>
          <w:lang w:val="es-AR" w:eastAsia="es-AR" w:bidi="es-AR"/>
        </w:rPr>
        <w:t xml:space="preserve">"Si quien pretende ejecutar un pagaré resulta ser una entidad financiera se presume que la causa es un préstamo para consumo y ello es así pues de acuerdo a los usos y costumbres comerciales la deuda instrumentada en un pagaré obedece a tal contrato (Ap. 5 del Título Preliminar del Código de Comercio) quedando a cargo de la entidad financiera destruir dicha presunción toda vez que conforme lo preceptúa el artículo 53 de la ley 24.240 es carga de los proveedores aportar al proceso todos los elementos de prueba que obren en su poder prestando la colaboración necesaria para el esclarecimiento de la cuestión debatida en juicio."</w:t>
      </w:r>
      <w:r>
        <w:rPr>
          <w:lang w:val="es-AR" w:eastAsia="es-AR" w:bidi="es-AR"/>
        </w:rPr>
        <w:t xml:space="preserve"> (CC0103 MP 148094 191 S 17/10/2011 Juez ZAMPINI (MA) </w:t>
        <w:br w:type="textWrapping"/>
      </w:r>
      <w:r>
        <w:rPr>
          <w:lang w:val="es-AR" w:eastAsia="es-AR" w:bidi="es-AR"/>
        </w:rPr>
        <w:t xml:space="preserve">Carátula: BBVA. BANCO FRANCÉS S.A. C/ NICOLETTO, MARCELO ANDRÉS S/ COBRO EJECUTIVO Magistrados Votantes: Zampini-Valle-Gerez Tribunal Origen: JC0800MP). </w:t>
      </w:r>
    </w:p>
    <w:p>
      <w:pPr>
        <w:pStyle w:val="[Normal]"/>
        <w:spacing w:line="480" w:lineRule="auto"/>
        <w:ind w:firstLine="1134"/>
        <w:jc w:val="both"/>
        <w:rPr>
          <w:lang w:val="es-AR" w:eastAsia="es-AR" w:bidi="es-AR"/>
        </w:rPr>
      </w:pPr>
      <w:r>
        <w:rPr>
          <w:b/>
          <w:lang w:val="es-AR" w:eastAsia="es-AR" w:bidi="es-AR"/>
        </w:rPr>
        <w:t xml:space="preserve">Omisión de tratar la nulidad: </w:t>
      </w:r>
      <w:r>
        <w:rPr>
          <w:lang w:val="es-AR" w:eastAsia="es-AR" w:bidi="es-AR"/>
        </w:rPr>
        <w:t xml:space="preserve">Por último, la ejecutante se agravia en cuanto a que el juez de primera instancia, al decretar la inhabilidad del título omitió, ante el incumplimiento de lo normado por el art. 36 de la LDC, pronunciarse respecto a la nulidad, y como la parte ejecutada deberá -ante tal supuesto- restituir los importes que se encuentran documentados en el instrumento base de la acción (Art. 390 del Código Civil y Comercial de la Nación).</w:t>
      </w:r>
    </w:p>
    <w:p>
      <w:pPr>
        <w:pStyle w:val="[Normal]"/>
        <w:spacing w:line="480" w:lineRule="auto"/>
        <w:ind w:firstLine="1134"/>
        <w:jc w:val="both"/>
        <w:rPr>
          <w:lang w:val="es-AR" w:eastAsia="es-AR" w:bidi="es-AR"/>
        </w:rPr>
      </w:pPr>
      <w:r>
        <w:rPr>
          <w:lang w:val="es-AR" w:eastAsia="es-AR" w:bidi="es-AR"/>
        </w:rPr>
        <w:t xml:space="preserve">Sobre tal argumento debo adelantar opinión, que nos encontramos ante un proceso ejecutivo, en el cual se analiza en forma acotada la habilidad del título, y si el mismo reúne los requisitos establecidos por el Dec. Ley 5965/63 y, en la relación subyacente, se ha cumplido y amparado el derecho protectorio previsto por el art.36 de la LDC, el cual es de aplicación obligatoria por su cáracter de orden público, a su vez reconocido por la Constitución Nacional, donde se protege el derecho del consumidor a ser debidamente informado sobre el negocio jurídico que celebra.</w:t>
      </w:r>
    </w:p>
    <w:p>
      <w:pPr>
        <w:pStyle w:val="[Normal]"/>
        <w:spacing w:line="480" w:lineRule="auto"/>
        <w:ind w:firstLine="1134"/>
        <w:jc w:val="both"/>
        <w:rPr>
          <w:lang w:val="es-AR" w:eastAsia="es-AR" w:bidi="es-AR"/>
        </w:rPr>
      </w:pPr>
      <w:r>
        <w:rPr>
          <w:lang w:val="es-AR" w:eastAsia="es-AR" w:bidi="es-AR"/>
        </w:rPr>
        <w:t xml:space="preserve">Sobre el particular se ha dicho, y tomo los fundamentos vertidos en el fallo plenario de Azul -arriba citado- por el Sr. Juez Dr. LOUGE EMILIOZZI, al tratar sobre la nulidad del título: </w:t>
      </w:r>
      <w:r>
        <w:rPr>
          <w:i/>
          <w:lang w:val="es-AR" w:eastAsia="es-AR" w:bidi="es-AR"/>
        </w:rPr>
        <w:t xml:space="preserve">"Nótese que lo que hace el juez, al proceder de ese modo en el marco de un juicio ejecutivo, es simplemente declarar la inhabilidad del título, instituto netamente procesal (arts. 521, 522, 529, 542 inc. 4to.y conc. del C.P.C.C.), y no la nulidad del contrato, instituto propio del derecho de fondo (arts. 36 de la ley 24.240, 386 y sig. del Código Civil y Comercial). Tan claro es ello que si por hipótesis el juez declarara la nulidad del contrato también debería ordenar las restituciones correspondientes (art. 390 del Código Civil y Comercial), cosa que naturalmente jamás ocurre. Estas breves acotaciones permiten concluir que cuando el juez declara la inhabilidad del título simplemente está cumpliendo con un deber que le impone la ley (art. 529 del C.P.C.C.) y en modo alguno está sustituyendo indebidamente la voluntad del consumidor-deudor, que es quien en definitiva tiene la opción de reclamar o no la nulidad del contrato en razón de tratarse -por expresa disposición legal- de una nulidad relativa."</w:t>
      </w:r>
    </w:p>
    <w:p>
      <w:pPr>
        <w:pStyle w:val="[Normal]"/>
        <w:spacing w:line="480" w:lineRule="auto"/>
        <w:ind w:firstLine="1134"/>
        <w:jc w:val="both"/>
        <w:rPr>
          <w:lang w:val="es-AR" w:eastAsia="es-AR" w:bidi="es-AR"/>
        </w:rPr>
      </w:pPr>
      <w:r>
        <w:rPr>
          <w:lang w:val="es-AR" w:eastAsia="es-AR" w:bidi="es-AR"/>
        </w:rPr>
        <w:t xml:space="preserve">En consecuencia, es una facultad propia de las partes plantear la nulidad del instrumento, el cual excede el marco acotado del proceso ejecutivo, y sobre el cual deberá tramitar por un proceso mas complejo, donde se podrá producir prueba y transitar un camino un poco más largo para acreditar que el título adolece de nulidad relativa. </w:t>
      </w:r>
    </w:p>
    <w:p>
      <w:pPr>
        <w:pStyle w:val="[Normal]"/>
        <w:spacing w:line="480" w:lineRule="auto"/>
        <w:ind w:firstLine="1134"/>
        <w:jc w:val="both"/>
        <w:rPr>
          <w:lang w:val="es-AR" w:eastAsia="es-AR" w:bidi="es-AR"/>
        </w:rPr>
      </w:pPr>
      <w:r>
        <w:rPr>
          <w:lang w:val="es-AR" w:eastAsia="es-AR" w:bidi="es-AR"/>
        </w:rPr>
        <w:t xml:space="preserve">Por los fundamentos vertidos, dicho agravio también debe ser desestimado.</w:t>
      </w:r>
    </w:p>
    <w:p>
      <w:pPr>
        <w:pStyle w:val="[Normal]"/>
        <w:spacing w:line="480" w:lineRule="auto"/>
        <w:ind w:firstLine="1134"/>
        <w:jc w:val="both"/>
        <w:rPr>
          <w:lang w:val="es-AR" w:eastAsia="es-AR" w:bidi="es-AR"/>
        </w:rPr>
      </w:pPr>
      <w:r>
        <w:rPr>
          <w:lang w:val="es-AR" w:eastAsia="es-AR" w:bidi="es-AR"/>
        </w:rPr>
        <w:t xml:space="preserve">En definitiva, teniendo en cuenta todo lo reseñado más arriba, y que en el caso bajo análisis, las condiciones particulares de las partes intervinientes en la causa, las cuales hacen presumir la existencia de una relación de consumo, hacen incluso oficioso la aplicación del art. 36 de la Ley 24.240. Siendo ello así, los agravios expresados por la ejecutante habrán de ser desestimados; correspondiendo la confirmación de la sentencia atacada.</w:t>
      </w:r>
    </w:p>
    <w:p>
      <w:pPr>
        <w:pStyle w:val="[Normal]"/>
        <w:spacing w:line="480" w:lineRule="auto"/>
        <w:ind w:firstLine="1134"/>
        <w:jc w:val="both"/>
        <w:rPr>
          <w:lang w:val="es-AR" w:eastAsia="es-AR" w:bidi="es-AR"/>
        </w:rPr>
      </w:pPr>
      <w:r>
        <w:rPr>
          <w:lang w:val="es-AR" w:eastAsia="es-AR" w:bidi="es-AR"/>
        </w:rPr>
        <w:t xml:space="preserve"> Por  las razones dadas, citas legales y jurisprudenciales,</w:t>
      </w:r>
    </w:p>
    <w:p>
      <w:pPr>
        <w:pStyle w:val="[Normal]"/>
        <w:spacing w:line="480" w:lineRule="auto"/>
        <w:ind w:firstLine="1134"/>
        <w:jc w:val="both"/>
        <w:rPr>
          <w:lang w:val="es-AR" w:eastAsia="es-AR" w:bidi="es-AR"/>
        </w:rPr>
      </w:pPr>
      <w:r>
        <w:rPr>
          <w:lang w:val="es-AR" w:eastAsia="es-AR" w:bidi="es-AR"/>
        </w:rPr>
        <w:t xml:space="preserve">VOTO POR LA AFIRMATIVA.</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480" w:lineRule="auto"/>
        <w:ind w:firstLine="1134"/>
        <w:jc w:val="both"/>
        <w:rPr>
          <w:lang w:val="es-AR" w:eastAsia="es-AR" w:bidi="es-AR"/>
        </w:rPr>
      </w:pPr>
      <w:r>
        <w:rPr>
          <w:lang w:val="es-AR" w:eastAsia="es-AR" w:bidi="es-AR"/>
        </w:rPr>
        <w:t xml:space="preserve">A la segunda cuestión el señor Juez Roberto Manuel Degleue dijo: de conformidad al resultado habido al tratarse la cuestión precedente, estimo que el pronunciamiento que corresponde dictar es: </w:t>
      </w:r>
    </w:p>
    <w:p>
      <w:pPr>
        <w:pStyle w:val="[Normal]"/>
        <w:spacing w:line="480" w:lineRule="auto"/>
        <w:ind w:firstLine="1134"/>
        <w:jc w:val="both"/>
        <w:rPr>
          <w:lang w:val="es-AR" w:eastAsia="es-AR" w:bidi="es-AR"/>
        </w:rPr>
      </w:pPr>
      <w:r>
        <w:rPr>
          <w:lang w:val="es-AR" w:eastAsia="es-AR" w:bidi="es-AR"/>
        </w:rPr>
        <w:t xml:space="preserve">Rechazar el recurso interpuesto y confirmar el decisorio apelado.</w:t>
      </w:r>
    </w:p>
    <w:p>
      <w:pPr>
        <w:pStyle w:val="[Normal]"/>
        <w:spacing w:line="480" w:lineRule="auto"/>
        <w:ind w:firstLine="1134"/>
        <w:jc w:val="both"/>
        <w:rPr>
          <w:lang w:val="es-AR" w:eastAsia="es-AR" w:bidi="es-AR"/>
        </w:rPr>
      </w:pPr>
      <w:r>
        <w:rPr>
          <w:lang w:val="es-AR" w:eastAsia="es-AR" w:bidi="es-AR"/>
        </w:rPr>
        <w:t xml:space="preserve">Con costas al apelante vencido (art. 68 CPCC)</w:t>
      </w:r>
    </w:p>
    <w:p>
      <w:pPr>
        <w:pStyle w:val="[Normal]"/>
        <w:spacing w:line="480" w:lineRule="auto"/>
        <w:ind w:firstLine="1134"/>
        <w:jc w:val="both"/>
        <w:rPr>
          <w:lang w:val="es-AR" w:eastAsia="es-AR" w:bidi="es-AR"/>
        </w:rPr>
      </w:pPr>
      <w:r>
        <w:rPr>
          <w:lang w:val="es-AR" w:eastAsia="es-AR" w:bidi="es-AR"/>
        </w:rPr>
        <w:t xml:space="preserve">ASI LO VOTO. </w:t>
      </w:r>
    </w:p>
    <w:p>
      <w:pPr>
        <w:pStyle w:val="[Normal]"/>
        <w:spacing w:line="480" w:lineRule="auto"/>
        <w:ind w:firstLine="1134"/>
        <w:jc w:val="both"/>
        <w:rPr>
          <w:lang w:val="es-AR" w:eastAsia="es-AR" w:bidi="es-AR"/>
        </w:rPr>
      </w:pPr>
      <w:r>
        <w:rPr>
          <w:lang w:val="es-AR" w:eastAsia="es-AR" w:bidi="es-AR"/>
        </w:rPr>
        <w:t xml:space="preserve">A la misma cuestión la señora Jueza Graciela Scaraffia por análogos fundamentos votó en el mismo sentido.-</w:t>
      </w:r>
    </w:p>
    <w:p>
      <w:pPr>
        <w:pStyle w:val="[Normal]"/>
        <w:spacing w:line="480" w:lineRule="auto"/>
        <w:ind w:firstLine="1134"/>
        <w:jc w:val="both"/>
        <w:rPr>
          <w:lang w:val="es-AR" w:eastAsia="es-AR" w:bidi="es-AR"/>
        </w:rPr>
      </w:pPr>
      <w:r>
        <w:rPr>
          <w:lang w:val="es-AR" w:eastAsia="es-AR" w:bidi="es-AR"/>
        </w:rPr>
        <w:t xml:space="preserve">Con lo que terminó el presente Acuerdo, dictándose la siguiente;</w:t>
      </w:r>
    </w:p>
    <w:p>
      <w:pPr>
        <w:pStyle w:val="[Normal]"/>
        <w:spacing w:line="480" w:lineRule="auto"/>
        <w:ind w:firstLine="1134"/>
        <w:jc w:val="both"/>
        <w:rPr>
          <w:b/>
          <w:u w:val="single"/>
          <w:lang w:val="es-AR" w:eastAsia="es-AR" w:bidi="es-AR"/>
        </w:rPr>
      </w:pPr>
      <w:r>
        <w:rPr>
          <w:b/>
          <w:u w:val="single"/>
          <w:lang w:val="es-AR" w:eastAsia="es-AR" w:bidi="es-AR"/>
        </w:rPr>
        <w:t xml:space="preserve">S E N T E N C I A:</w:t>
      </w:r>
    </w:p>
    <w:p>
      <w:pPr>
        <w:pStyle w:val="[Normal]"/>
        <w:spacing w:line="480" w:lineRule="auto"/>
        <w:ind w:firstLine="1134"/>
        <w:jc w:val="both"/>
        <w:rPr>
          <w:lang w:val="es-AR" w:eastAsia="es-AR" w:bidi="es-AR"/>
        </w:rPr>
      </w:pPr>
      <w:r>
        <w:rPr>
          <w:lang w:val="es-AR" w:eastAsia="es-AR" w:bidi="es-AR"/>
        </w:rPr>
        <w:t xml:space="preserve">Rechazar el recurso interpuesto y confirmar el decisorio apelado.</w:t>
      </w:r>
    </w:p>
    <w:p>
      <w:pPr>
        <w:pStyle w:val="[Normal]"/>
        <w:spacing w:line="480" w:lineRule="auto"/>
        <w:ind w:firstLine="1134"/>
        <w:jc w:val="both"/>
        <w:rPr>
          <w:lang w:val="es-AR" w:eastAsia="es-AR" w:bidi="es-AR"/>
        </w:rPr>
      </w:pPr>
      <w:r>
        <w:rPr>
          <w:lang w:val="es-AR" w:eastAsia="es-AR" w:bidi="es-AR"/>
        </w:rPr>
        <w:t xml:space="preserve">Con costas al apelante vencido (art. 68 CPCC).</w:t>
      </w:r>
    </w:p>
    <w:p>
      <w:pPr>
        <w:pStyle w:val="[Normal]"/>
        <w:spacing w:line="480" w:lineRule="auto"/>
        <w:ind w:firstLine="1134"/>
        <w:jc w:val="both"/>
        <w:rPr>
          <w:lang w:val="es-AR" w:eastAsia="es-AR" w:bidi="es-AR"/>
        </w:rPr>
      </w:pPr>
      <w:r>
        <w:rPr>
          <w:lang w:val="es-AR" w:eastAsia="es-AR" w:bidi="es-AR"/>
        </w:rPr>
        <w:t xml:space="preserve">Regístrese. Notifíquese. Devuélvase.-</w:t>
      </w:r>
    </w:p>
    <w:p>
      <w:pPr>
        <w:pStyle w:val="[Normal]"/>
        <w:spacing w:line="480" w:lineRule="auto"/>
        <w:ind w:firstLine="1134"/>
        <w:jc w:val="both"/>
        <w:rPr>
          <w:color w:val="000000"/>
          <w:lang w:val="es-AR" w:eastAsia="es-AR" w:bidi="es-AR"/>
        </w:rPr>
      </w:pPr>
    </w:p>
    <w:p>
      <w:pPr>
        <w:pStyle w:val="[Normal]"/>
        <w:spacing w:line="480" w:lineRule="auto"/>
        <w:ind w:firstLine="1134"/>
        <w:jc w:val="both"/>
        <w:rPr>
          <w:b/>
          <w:color w:val="000000"/>
          <w:lang w:val="es-AR" w:eastAsia="es-AR" w:bidi="es-AR"/>
        </w:rPr>
      </w:pPr>
      <w:r>
        <w:rPr>
          <w:color w:val="000000"/>
          <w:lang w:val="es-AR" w:eastAsia="es-AR" w:bidi="es-AR"/>
        </w:rPr>
        <w:t xml:space="preserve">	          </w:t>
      </w:r>
      <w:r>
        <w:rPr>
          <w:b/>
          <w:color w:val="000000"/>
          <w:lang w:val="es-AR" w:eastAsia="es-AR" w:bidi="es-AR"/>
        </w:rPr>
        <w:t xml:space="preserve">Roberto Manuel Degleue</w:t>
      </w:r>
    </w:p>
    <w:p>
      <w:pPr>
        <w:pStyle w:val="[Normal]"/>
        <w:spacing w:line="480" w:lineRule="auto"/>
        <w:ind w:firstLine="1134"/>
        <w:jc w:val="center"/>
        <w:rPr>
          <w:b/>
          <w:color w:val="000000"/>
          <w:lang w:val="es-AR" w:eastAsia="es-AR" w:bidi="es-AR"/>
        </w:rPr>
      </w:pPr>
      <w:r>
        <w:rPr>
          <w:b/>
          <w:color w:val="000000"/>
          <w:lang w:val="es-AR" w:eastAsia="es-AR" w:bidi="es-AR"/>
        </w:rPr>
        <w:t xml:space="preserve">	Presidente de la Excma. Cámara de              	Apelaciones en lo Civil y Comercial </w:t>
      </w:r>
    </w:p>
    <w:p>
      <w:pPr>
        <w:pStyle w:val="[Normal]"/>
        <w:spacing w:line="480" w:lineRule="auto"/>
        <w:ind w:firstLine="1134"/>
        <w:jc w:val="center"/>
        <w:rPr>
          <w:b/>
          <w:color w:val="000000"/>
          <w:lang w:val="es-AR" w:eastAsia="es-AR" w:bidi="es-AR"/>
        </w:rPr>
      </w:pPr>
      <w:r>
        <w:rPr>
          <w:b/>
          <w:color w:val="000000"/>
          <w:lang w:val="es-AR" w:eastAsia="es-AR" w:bidi="es-AR"/>
        </w:rPr>
        <w:t xml:space="preserve">Dto. Judicial Pergamino.</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r>
        <w:rPr>
          <w:color w:val="000000"/>
          <w:lang w:val="es-AR" w:eastAsia="es-AR" w:bidi="es-AR"/>
        </w:rPr>
        <w:t xml:space="preserve">Graciela Scaraffia </w:t>
      </w:r>
    </w:p>
    <w:p>
      <w:pPr>
        <w:pStyle w:val="[Normal]"/>
        <w:spacing w:line="480" w:lineRule="auto"/>
        <w:ind w:firstLine="1134"/>
        <w:jc w:val="both"/>
        <w:rPr>
          <w:color w:val="000000"/>
          <w:lang w:val="es-AR" w:eastAsia="es-AR" w:bidi="es-AR"/>
        </w:rPr>
      </w:pPr>
      <w:r>
        <w:rPr>
          <w:color w:val="000000"/>
          <w:lang w:val="es-AR" w:eastAsia="es-AR" w:bidi="es-AR"/>
        </w:rPr>
        <w:t xml:space="preserve">Juez</w:t>
      </w:r>
    </w:p>
    <w:p>
      <w:pPr>
        <w:pStyle w:val="[Normal]"/>
        <w:spacing w:line="480" w:lineRule="auto"/>
        <w:ind w:firstLine="1134"/>
        <w:jc w:val="both"/>
        <w:rPr>
          <w:color w:val="000000"/>
          <w:lang w:val="es-AR" w:eastAsia="es-AR" w:bidi="es-AR"/>
        </w:rPr>
      </w:pPr>
    </w:p>
    <w:p>
      <w:pPr>
        <w:pStyle w:val="[Normal]"/>
        <w:spacing w:line="480" w:lineRule="auto"/>
        <w:ind w:firstLine="1134"/>
        <w:jc w:val="both"/>
        <w:rPr>
          <w:color w:val="000000"/>
          <w:lang w:val="es-AR" w:eastAsia="es-AR" w:bidi="es-AR"/>
        </w:rPr>
      </w:pPr>
      <w:r>
        <w:rPr>
          <w:color w:val="000000"/>
          <w:lang w:val="es-AR" w:eastAsia="es-AR" w:bidi="es-AR"/>
        </w:rPr>
        <w:t xml:space="preserve">			María Magdalena Elustondo</w:t>
      </w:r>
    </w:p>
    <w:p>
      <w:pPr>
        <w:pStyle w:val="[Normal]"/>
        <w:spacing w:line="480" w:lineRule="auto"/>
        <w:ind w:firstLine="1134"/>
        <w:jc w:val="both"/>
        <w:rPr>
          <w:color w:val="000000"/>
          <w:lang w:val="es-AR" w:eastAsia="es-AR" w:bidi="es-AR"/>
        </w:rPr>
      </w:pPr>
      <w:r>
        <w:rPr>
          <w:color w:val="000000"/>
          <w:lang w:val="es-AR" w:eastAsia="es-AR" w:bidi="es-AR"/>
        </w:rPr>
        <w:t xml:space="preserve">			Auxiliar letrada</w:t>
      </w:r>
    </w:p>
    <w:p>
      <w:pPr>
        <w:pStyle w:val="[Normal]"/>
        <w:rPr>
          <w:color w:val="000000"/>
          <w:lang w:val="es-AR" w:eastAsia="es-AR" w:bidi="es-AR"/>
        </w:rPr>
      </w:pPr>
    </w:p>
    <w:sectPr>
      <w:pgSz w:w="11906" w:h="16832"/>
      <w:pgMar w:top="2835" w:right="850" w:bottom="1134" w:left="2835" w:header="567" w:footer="567"/>
      <w:pgBorders w:display="allPages" w:offsetFrom="page"/>
    </w:sectPr>
  </w:body>
</w:document>
</file>

<file path=word/fontTable.xml><?xml version="1.0" encoding="utf-8"?>
<w:fonts xmlns:w="http://schemas.openxmlformats.org/wordprocessingml/2006/main">
  <w:font w:name="Arial">
    <w:charset w:val="00"/>
    <w:family w:val="swiss"/>
    <w:pitch w:val="variable"/>
  </w:font>
  <w:font w:name="Times New Roman">
    <w:charset w:val="00"/>
    <w:family w:val="roman"/>
    <w:pitch w:val="variable"/>
  </w:font>
  <w:font w:name="Symbol">
    <w:charset w:val="02"/>
    <w:family w:val="roman"/>
    <w:pitch w:val="variable"/>
  </w:font>
</w:fonts>
</file>

<file path=word/settings.xml><?xml version="1.0" encoding="utf-8"?>
<w:settings xmlns:w="http://schemas.openxmlformats.org/wordprocessingml/2006/main">
  <w:bordersDoNotSurroundHeader/>
  <w:bordersDoNotSurroundFooter/>
  <w:defaultTabStop w:val="1134"/>
  <w:compat>
    <w:noExtraLineSpacing/>
  </w:compat>
</w:settings>
</file>

<file path=word/styles.xml><?xml version="1.0" encoding="utf-8"?>
<w:styles xmlns:w="http://schemas.openxmlformats.org/wordprocessingml/2006/main">
  <w:docDefaults>
    <w:rPrDefault>
      <w:rPr>
        <w:rFonts w:ascii="Arial"/>
        <w:sz w:val="24"/>
      </w:rPr>
    </w:rPrDefault>
  </w:docDefaults>
  <w:latentStyles/>
  <w:style w:type="paragraph" w:styleId="[Normal]" w:default="1">
    <w:name w:val="[Normal]"/>
    <w:next w:val="[Normal]"/>
    <w:qFormat/>
    <w:pPr>
      <w:tabs>
        <w:tab w:val="left" w:pos="1134"/>
        <w:tab w:val="left" w:pos="2268"/>
        <w:tab w:val="left" w:pos="3402"/>
        <w:tab w:val="left" w:pos="4536"/>
        <w:tab w:val="left" w:pos="5670"/>
        <w:tab w:val="left" w:pos="6804"/>
        <w:tab w:val="left" w:pos="7938"/>
        <w:tab w:val="left" w:pos="9072"/>
        <w:tab w:val="left" w:pos="10206"/>
        <w:tab w:val="left" w:pos="11340"/>
        <w:tab w:val="left" w:pos="12474"/>
        <w:tab w:val="left" w:pos="13608"/>
        <w:tab w:val="left" w:pos="14742"/>
        <w:tab w:val="left" w:pos="15876"/>
      </w:tabs>
      <w:spacing w:before="0" w:after="0" w:line="240" w:lineRule="auto"/>
      <w:ind w:left="0" w:right="0" w:firstLine="0"/>
      <w:jc w:val="left"/>
    </w:pPr>
    <w:rPr>
      <w:rFonts w:ascii="Arial" w:hAnsi="Arial" w:eastAsia="Arial" w:cs="Arial"/>
      <w:b w:val="off"/>
      <w:bCs w:val="off"/>
      <w:i w:val="off"/>
      <w:iCs w:val="off"/>
      <w:strike w:val="off"/>
      <w:color w:val="auto"/>
      <w:sz w:val="24"/>
      <w:szCs w:val="24"/>
      <w:shd w:val="clear" w:fill="auto"/>
      <w:rtl w:val="off"/>
      <w:lang w:val="x-none" w:eastAsia="x-none" w:bidi="x-none"/>
    </w:rPr>
  </w:style>
</w:styles>
</file>

<file path=word/_rels/document.xml.rels><?xml version="1.0" encoding="UTF-8" standalone="yes"?><Relationships xmlns="http://schemas.openxmlformats.org/package/2006/relationships">
	<Relationship Id="rId00004" Type="http://schemas.openxmlformats.org/officeDocument/2006/relationships/styles" Target="styles.xml"/>
	<Relationship Id="rId00005" Type="http://schemas.openxmlformats.org/officeDocument/2006/relationships/fontTable" Target="fontTable.xml"/>
	<Relationship Id="rId00006"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Application>TX_DOX 20.0.150.502</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cp:coreProperties>
</file>