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62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396/402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16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3500-18</w:t>
      </w:r>
      <w:r>
        <w:rPr>
          <w:lang w:val="es-AR" w:eastAsia="es-AR" w:bidi="es-AR"/>
        </w:rPr>
        <w:t xml:space="preserve"> caratulada </w:t>
      </w:r>
      <w:r>
        <w:rPr>
          <w:b/>
          <w:lang w:val="es-AR" w:eastAsia="es-AR" w:bidi="es-AR"/>
        </w:rPr>
        <w:t xml:space="preserve">"</w:t>
      </w:r>
      <w:r>
        <w:rPr>
          <w:b/>
          <w:color w:val="000000"/>
          <w:lang w:val="es-AR" w:eastAsia="es-AR" w:bidi="es-AR"/>
        </w:rPr>
        <w:t xml:space="preserve">MUTUAL DE SOCIOS DEL CLUB SPORTIVO BARRACAS Y UNION FRANCESA C/ BERTONE CARLOS ALBERTO Y OTROS S/ COBRO SUMARIO SUMAS DINERO (EXC.ALQUILERES, ETC.)</w:t>
      </w:r>
      <w:r>
        <w:rPr>
          <w:b/>
          <w:lang w:val="es-AR" w:eastAsia="es-AR" w:bidi="es-AR"/>
        </w:rPr>
        <w:t xml:space="preserve">"</w:t>
      </w:r>
      <w:r>
        <w:rPr>
          <w:lang w:val="es-AR" w:eastAsia="es-AR" w:bidi="es-AR"/>
        </w:rPr>
        <w:t xml:space="preserve">, Expte. </w:t>
      </w:r>
      <w:r>
        <w:rPr>
          <w:color w:val="000000"/>
          <w:lang w:val="es-AR" w:eastAsia="es-AR" w:bidi="es-AR"/>
        </w:rPr>
        <w:t xml:space="preserve">71.475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Nº 1</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w:t>
      </w:r>
      <w:r>
        <w:rPr>
          <w:lang w:val="es-AR" w:eastAsia="es-AR" w:bidi="es-AR"/>
        </w:rPr>
        <w:t xml:space="preserve"> dijo:</w:t>
      </w:r>
    </w:p>
    <w:p>
      <w:pPr>
        <w:pStyle w:val="[Normal]"/>
        <w:spacing w:line="480" w:lineRule="auto"/>
        <w:ind w:firstLine="1134"/>
        <w:jc w:val="both"/>
        <w:rPr>
          <w:lang w:val="es-AR" w:eastAsia="es-AR" w:bidi="es-AR"/>
        </w:rPr>
      </w:pPr>
      <w:r>
        <w:rPr>
          <w:lang w:val="es-AR" w:eastAsia="es-AR" w:bidi="es-AR"/>
        </w:rPr>
        <w:t xml:space="preserve">El Sr. Juez de la anterior instancia hizo lugar a la demanda instaurada por Mutual de Socios del Club Sportivo Barracas y Unión Francesa, condenando en consecuencia a los demandados, Sr. Omar Antonio Bertone, Sr. Carlos Alberto Bertone y Sr. Guillermo Omar Bertone, a abonar a la parte actora, la suma de trescientos ochenta y cinco mil pesos ($385.000), con más un interés liquidado en la forma pactada, a partir de la fecha de la mora: 16/12/2014 y hasta su efectivo pago; con la salvedad de que se evaluará si los mismos son excesivos y contrarios a la moral y buenas costumbres, en el momento procesal de examinar la liquidación. Aplicó las costas a la parte demandada que resulta vencida y difirió la regulación de honorarios de los profesionales intervinientes, hasta que medie firme la respectiva liquidación de intereses y gastos.</w:t>
      </w:r>
    </w:p>
    <w:p>
      <w:pPr>
        <w:pStyle w:val="[Normal]"/>
        <w:spacing w:line="480" w:lineRule="auto"/>
        <w:ind w:firstLine="1134"/>
        <w:jc w:val="both"/>
        <w:rPr>
          <w:lang w:val="es-AR" w:eastAsia="es-AR" w:bidi="es-AR"/>
        </w:rPr>
      </w:pPr>
      <w:r>
        <w:rPr>
          <w:lang w:val="es-AR" w:eastAsia="es-AR" w:bidi="es-AR"/>
        </w:rPr>
        <w:t xml:space="preserve">Tal decisorio, fue objeto del recurso de apelación interpuesto por la demandada mediante presentación electrónica de fecha 29/11/18, el que fuera concedido libremente a fs. 97, fundado mediante escrito electrónico en fecha 28/12/18. Conferido el traslado pertinente, es contestado por la contraria a fs. 100, quien solicita se declare desierto el recurso por insuficiencia recursiva y en subsidio, procede a contestar, peticionando se confirme la sentencia apelada, con costas a los demandados. A fs. 101 se llama autos para dictar sentencia,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Se queja la parte demandada de la valoración probatoria efectuada por el </w:t>
      </w:r>
      <w:r>
        <w:rPr>
          <w:i/>
          <w:lang w:val="es-AR" w:eastAsia="es-AR" w:bidi="es-AR"/>
        </w:rPr>
        <w:t xml:space="preserve">a-quo</w:t>
      </w:r>
      <w:r>
        <w:rPr>
          <w:lang w:val="es-AR" w:eastAsia="es-AR" w:bidi="es-AR"/>
        </w:rPr>
        <w:t xml:space="preserve"> respecto de los dichos de la actora, de la documental obrante en autos y del informe pericial  con sus aclaraciones obrantes en autos (presentaciones electrónicas de fechas 22/06/2018, 12/07/2018 y 30/08/2018), señalando que de los puntos de la experticia, en contrario con lo sostenido por el juez de primera instancia se ha probado -según los recurrentes: "...</w:t>
      </w:r>
      <w:r>
        <w:rPr>
          <w:i/>
          <w:lang w:val="es-AR" w:eastAsia="es-AR" w:bidi="es-AR"/>
        </w:rPr>
        <w:t xml:space="preserve"> por mutuo objeto de la litis: a) No ha existido entrega de sumas de dinero por parte de la Mutual. b) ni extracciones por parte de los demandados. c) Hubo acreditación en cuenta (aspecto que se desconoce). d) Tiene su origen en la ayuda económica número 94. e) El motivo de la registración contable de la ayuda número 94, se basa en la novación de la ayuda económica número 100, por mutuo de fecha 03-10-2012 de 50.000 dólares, de la que han sido abonados los intereses aunque no el capital mencionado. f) A su vez, la ayuda económica número 100, nova a la número 88 de fecha 28-07-2011 por contrato de la misma fecha, también por 50.000 dólares, de los que se han abonado los intereses pero no así el capital prestado. g) Y es en esta primera ayuda económica número 88 en donde se observa la extracción del dinero por parte de los demandados, en fecha 28 -07-2011 por Caja de la mutual, $ 70.490,00 en efectivo y $ 140.000,00 cheque cargo Bco. Pcia. de Bs. As.". E</w:t>
      </w:r>
      <w:r>
        <w:rPr>
          <w:lang w:val="es-AR" w:eastAsia="es-AR" w:bidi="es-AR"/>
        </w:rPr>
        <w:t xml:space="preserve">n definitiva, y como se dijera en oportunidad de contestar la demanda y se reitera en esta instancia </w:t>
      </w:r>
      <w:r>
        <w:rPr>
          <w:i/>
          <w:lang w:val="es-AR" w:eastAsia="es-AR" w:bidi="es-AR"/>
        </w:rPr>
        <w:t xml:space="preserve">"... producto del mutuo objeto de autos, no hubo entrega de dinero a los demandados ni extracción por parte de ellos".  </w:t>
      </w:r>
    </w:p>
    <w:p>
      <w:pPr>
        <w:pStyle w:val="[Normal]"/>
        <w:spacing w:line="480" w:lineRule="auto"/>
        <w:ind w:firstLine="1134"/>
        <w:jc w:val="both"/>
        <w:rPr>
          <w:lang w:val="es-AR" w:eastAsia="es-AR" w:bidi="es-AR"/>
        </w:rPr>
      </w:pPr>
      <w:r>
        <w:rPr>
          <w:lang w:val="es-AR" w:eastAsia="es-AR" w:bidi="es-AR"/>
        </w:rPr>
        <w:t xml:space="preserve">Liminarmente he de señalar que el escrito de agravios alcanza mínimamente la critica concreta y razonada exigida por imperio del art. 260 del CPCC y su doctrina.  Maguer, y en virtud del derecho constitucional de la defensa en juicio, habré de dar tratamiento a las cuestiones traídas, señalando que la revisión de Alzada está limitada por aquellas cuestiones propuestas en el escrito respectivo (art. 18 de la C.N).</w:t>
      </w:r>
    </w:p>
    <w:p>
      <w:pPr>
        <w:pStyle w:val="[Normal]"/>
        <w:spacing w:line="480" w:lineRule="auto"/>
        <w:ind w:firstLine="1134"/>
        <w:jc w:val="both"/>
        <w:rPr>
          <w:lang w:val="es-AR" w:eastAsia="es-AR" w:bidi="es-AR"/>
        </w:rPr>
      </w:pPr>
      <w:r>
        <w:rPr>
          <w:lang w:val="es-AR" w:eastAsia="es-AR" w:bidi="es-AR"/>
        </w:rPr>
        <w:t xml:space="preserve">De tal modo se ha centrado la queja en la valoración probatoria que llevara al operador de primera instancia a tener por acreditada la entrega de la suma de dinero a los demandados, apoyándose en lo que ha dictaminado el perito contador interviniente.</w:t>
      </w:r>
    </w:p>
    <w:p>
      <w:pPr>
        <w:pStyle w:val="[Normal]"/>
        <w:spacing w:line="480" w:lineRule="auto"/>
        <w:ind w:firstLine="1134"/>
        <w:jc w:val="both"/>
        <w:rPr>
          <w:lang w:val="es-AR" w:eastAsia="es-AR" w:bidi="es-AR"/>
        </w:rPr>
      </w:pPr>
      <w:r>
        <w:rPr>
          <w:lang w:val="es-AR" w:eastAsia="es-AR" w:bidi="es-AR"/>
        </w:rPr>
        <w:t xml:space="preserve">Sin embargo, para así resolver tuvo en cuenta la prueba producida por las partes, la que ha meritado conforme las reglas de la sana crítica (art. 384 del CPCC y su doctrina) y sobre la cual se ensaya el disgusto de los recurrentes.</w:t>
      </w:r>
    </w:p>
    <w:p>
      <w:pPr>
        <w:pStyle w:val="[Normal]"/>
        <w:spacing w:line="480" w:lineRule="auto"/>
        <w:ind w:firstLine="1134"/>
        <w:jc w:val="both"/>
        <w:rPr>
          <w:lang w:val="es-AR" w:eastAsia="es-AR" w:bidi="es-AR"/>
        </w:rPr>
      </w:pPr>
      <w:r>
        <w:rPr>
          <w:lang w:val="es-AR" w:eastAsia="es-AR" w:bidi="es-AR"/>
        </w:rPr>
        <w:t xml:space="preserve">Cabe mencionar sobre el particular, que la apreciación de la prueba tiene lugar mediante el empleo de reglas de la experiencia que el operador extrae de todos los campos entendiéndose por reglas de la sana crítica aquellas que son aconsejadas por el buen sentido aplicado con recto criterio, extraídas de la lógica, basadas en la ciencia, en la experiencia y en la observación para discernir lo falso de lo verdadero (SBBA Ac. y Sent. 1959 citado por Morello en "Códigos....T V-A pág. 250).  Y que el valor de convicción de los elementos considerados por el sentenciante debe ser analizado integralmente, relacionando unos con otros y todos entre sí, y no separadamente (SCBA DJBA v. 71, p. 30 autor citado).-</w:t>
      </w:r>
    </w:p>
    <w:p>
      <w:pPr>
        <w:pStyle w:val="[Normal]"/>
        <w:spacing w:line="480" w:lineRule="auto"/>
        <w:ind w:firstLine="1134"/>
        <w:jc w:val="both"/>
        <w:rPr>
          <w:lang w:val="es-AR" w:eastAsia="es-AR" w:bidi="es-AR"/>
        </w:rPr>
      </w:pPr>
      <w:r>
        <w:rPr>
          <w:lang w:val="es-AR" w:eastAsia="es-AR" w:bidi="es-AR"/>
        </w:rPr>
        <w:t xml:space="preserve">A partir de la normativa prevista en el art. 384 del CPCC y los precedentes aplicados en función de esta regla, se extrae asimismo que la elección de la prueba es facultad privativa del juzgador quien puede seleccionar aquellas que estime relevantes, decidirse por unas descartando las otras que considere inconducentes o inoperantes, por tanto la preferencia respecto de unas no viola las leyes que rigen su valoración.-</w:t>
      </w:r>
    </w:p>
    <w:p>
      <w:pPr>
        <w:pStyle w:val="[Normal]"/>
        <w:spacing w:line="480" w:lineRule="auto"/>
        <w:ind w:firstLine="1134"/>
        <w:jc w:val="both"/>
        <w:rPr>
          <w:lang w:val="es-AR" w:eastAsia="es-AR" w:bidi="es-AR"/>
        </w:rPr>
      </w:pPr>
      <w:r>
        <w:rPr>
          <w:lang w:val="es-AR" w:eastAsia="es-AR" w:bidi="es-AR"/>
        </w:rPr>
        <w:t xml:space="preserve">Esas directivas son aplicables a todo medio de prueba traído al proceso.-</w:t>
      </w:r>
    </w:p>
    <w:p>
      <w:pPr>
        <w:pStyle w:val="[Normal]"/>
        <w:spacing w:line="480" w:lineRule="auto"/>
        <w:ind w:firstLine="1134"/>
        <w:jc w:val="both"/>
        <w:rPr>
          <w:i/>
          <w:lang w:val="es-AR" w:eastAsia="es-AR" w:bidi="es-AR"/>
        </w:rPr>
      </w:pPr>
      <w:r>
        <w:rPr>
          <w:lang w:val="es-AR" w:eastAsia="es-AR" w:bidi="es-AR"/>
        </w:rPr>
        <w:t xml:space="preserve">En nuestro caso, mediante el escrito de agravio se ha puesto en crisis la valoración del dictamen pericial contable agregado en autos. El experto informó; sobre el mutuo objeto de autos que: "</w:t>
      </w:r>
      <w:r>
        <w:rPr>
          <w:i/>
          <w:lang w:val="es-AR" w:eastAsia="es-AR" w:bidi="es-AR"/>
        </w:rPr>
        <w:t xml:space="preserve">3. ... Se examinó el Libro Subdiario de Caja correspondiente al periodo diciembre de 2013, el mismo consta de 235 folios y en su folio n° 233, se encuentra registrado el asiento relativo al mutuo entre las partes con fecha 17/12/2013. Dicho asiento,  bajo la leyenda :  “emisión de ayuda económica” refleja la operación por un total de $ 385.000 y como  contrapartida la acreditación en cuenta personal de ahorro n° 264 que lleva el título bertone Guillermo Omar y/o Bertone Carlos Alberto por $ 381.150, la diferencia de $ 3850 se encuentra acreditada en el mismo asiento a favor de la mutual en la cuenta “recupero de gastos administrativos”. Este asiento se encuentra respaldado por la minuta de caja, de la misma fecha referida a la  liquidación n° 40257 , ayuda n° 94,  correspondiente a la cuenta personal de ahorro n° 264" (ver escrito electrónico de fecha 22/06/18)</w:t>
      </w:r>
      <w:r>
        <w:rPr>
          <w:lang w:val="es-AR" w:eastAsia="es-AR" w:bidi="es-AR"/>
        </w:rPr>
        <w:t xml:space="preserve">. Asimismo, en la ampliación de su informe, ante el requerimiento de la demandada, aclaró: </w:t>
      </w:r>
      <w:r>
        <w:rPr>
          <w:i/>
          <w:lang w:val="es-AR" w:eastAsia="es-AR" w:bidi="es-AR"/>
        </w:rPr>
        <w:t xml:space="preserve">"... Téngase presente que este perito ha informado lo que surge de las registraciones contables en libros rubricados en base a documentación respaldatoria, por ello ratifica  la respuesta al punto de pericia c)  presentada en informe original. No obstante, entendiendo la dirección de la solicitud de aclaraciones formulada por la parte demandada, </w:t>
      </w:r>
      <w:r>
        <w:rPr>
          <w:i/>
          <w:u w:val="single"/>
          <w:lang w:val="es-AR" w:eastAsia="es-AR" w:bidi="es-AR"/>
        </w:rPr>
        <w:t xml:space="preserve">ha practicado compulsa de los subdiarios de caja y de la cuenta personal a nombre de los demandados</w:t>
      </w:r>
      <w:r>
        <w:rPr>
          <w:i/>
          <w:lang w:val="es-AR" w:eastAsia="es-AR" w:bidi="es-AR"/>
        </w:rPr>
        <w:t xml:space="preserve"> </w:t>
      </w:r>
      <w:r>
        <w:rPr>
          <w:i/>
          <w:u w:val="single"/>
          <w:lang w:val="es-AR" w:eastAsia="es-AR" w:bidi="es-AR"/>
        </w:rPr>
        <w:t xml:space="preserve">con el fin de dilucidar la causa de estas registraciones, obteniéndose las siguientes conclusiones: No ha existido entrega de sumas de dinero por parte de la Mutual ni extracciones por parte de los demandados con posterioridad a la acreditación en cuenta,  que tiene su origen en la ayuda económica numero 94, por mutuo que se reclama.</w:t>
      </w:r>
      <w:r>
        <w:rPr>
          <w:i/>
          <w:lang w:val="es-AR" w:eastAsia="es-AR" w:bidi="es-AR"/>
        </w:rPr>
        <w:t xml:space="preserve"> El motivo de la registracion contable de la ayuda numero 94,  se basa en la novación de la ayuda económica numero 100, por mutuo de fecha 03-10-2012 de 50.000 dolares, de la que han sido abonados los intereses aunque no el capital mencionado. A su vez, la ayuda económica numero 100, nova a la numero 88 de fecha 28-07-2011 por contrato de la misma fecha, también por 50.000 dolares, de los que se han abonado los intereses pero no asi el capital prestado. Y es en esta primera ayuda económica numero 88 en donde se observa la extracción del dinero por parte de los demandados, en fecha 28 -07-2011 por Caja de la mutual, $ 70.490,00 en efectivo y $ 140.000,00 cheque cargo Bco Pvcia de Bs As . Tal como se expone en el encabezamiento del presente, todos los movimientos detallados han sido verificados en cuenta personal, en libros rubricados, minutas de caja y extractos bancarios." (el subrayado me pertenece, escrito electrónico de fecha 30/08/18). </w:t>
      </w:r>
    </w:p>
    <w:p>
      <w:pPr>
        <w:pStyle w:val="[Normal]"/>
        <w:spacing w:line="480" w:lineRule="auto"/>
        <w:ind w:firstLine="1134"/>
        <w:jc w:val="both"/>
        <w:rPr>
          <w:lang w:val="es-AR" w:eastAsia="es-AR" w:bidi="es-AR"/>
        </w:rPr>
      </w:pPr>
      <w:r>
        <w:rPr>
          <w:lang w:val="es-AR" w:eastAsia="es-AR" w:bidi="es-AR"/>
        </w:rPr>
        <w:t xml:space="preserve">Así, considero conforme surge de las aclaraciones realizadas por el experto, las registraciones anteriores a la realizada en fecha 17/12/2013, corresponden a la causa de la registración, haciendo referencia a novaciones de obligaciones por otros montos y con anterioridad al mutuo objeto de autos y al depósito en cuenta. Y, aquí no se encuentra en discusión la causa de la registración ni los registros anteriores al mutuo celebrado entre las partes. No hay dudas que la registración a la que hace referencia el experto en su respuesta 3 del informe y en la ampliación tercer párrafo, coincide con el contrato de mutuo que aquí se reclama, y que hubo por parte de la actora una acreditación en cuenta personal de ahorro N° 264, que lleva el título Bertone Gullermo Omar y/o Bertone Carlos Alberto por la suma objeto de autos.</w:t>
      </w:r>
    </w:p>
    <w:p>
      <w:pPr>
        <w:pStyle w:val="[Normal]"/>
        <w:spacing w:line="480" w:lineRule="auto"/>
        <w:ind w:firstLine="1134"/>
        <w:jc w:val="both"/>
        <w:rPr>
          <w:lang w:val="es-AR" w:eastAsia="es-AR" w:bidi="es-AR"/>
        </w:rPr>
      </w:pPr>
      <w:r>
        <w:rPr>
          <w:lang w:val="es-AR" w:eastAsia="es-AR" w:bidi="es-AR"/>
        </w:rPr>
        <w:t xml:space="preserve">En efecto, las conclusiones del experto se adecuan en un todo a las directivas del art. 457 y ccs del CPCC, habiéndose reunido los requisitos de procedencia, idoneidad, puntos de pericia, forma de presentación del dictamen y con apoyo en el art. 474 del CPCC su fuerza probatoria no se ve disminuida por ningún otro planteo de la contraparte.-</w:t>
      </w:r>
    </w:p>
    <w:p>
      <w:pPr>
        <w:pStyle w:val="[Normal]"/>
        <w:spacing w:line="480" w:lineRule="auto"/>
        <w:ind w:firstLine="1134"/>
        <w:jc w:val="both"/>
        <w:rPr>
          <w:lang w:val="es-AR" w:eastAsia="es-AR" w:bidi="es-AR"/>
        </w:rPr>
      </w:pPr>
      <w:r>
        <w:rPr>
          <w:lang w:val="es-AR" w:eastAsia="es-AR" w:bidi="es-AR"/>
        </w:rPr>
        <w:t xml:space="preserve">Por el contrario, complementando ello con la documental obrante en autos, instrumento que no ha sido desconocido por la demandada y que en su cláusula primera expresamente dispone: </w:t>
      </w:r>
      <w:r>
        <w:rPr>
          <w:i/>
          <w:lang w:val="es-AR" w:eastAsia="es-AR" w:bidi="es-AR"/>
        </w:rPr>
        <w:t xml:space="preserve">"El asociado solicita y la Mutual le otorga un préstamo (Ayuda Económica Mutual) por la suma de TRESCIENTOS OCHENTA Y CINCO MIL $385.000 -el que se efectiviza en este acto con la entrega por parte de la Mutual y la recepción por parte del asociado de tal importe en billete de dicha moneda, sirviendo el presente de eficaz recibo y carta de adeudo."</w:t>
      </w:r>
      <w:r>
        <w:rPr>
          <w:lang w:val="es-AR" w:eastAsia="es-AR" w:bidi="es-AR"/>
        </w:rPr>
        <w:t xml:space="preserve">, se acreditó que ha existido un contrato de mutuo por la suma de $ 385.000, y que lo convenido, se cumplimentó mediante una acreditación en cuenta de los demandados.-</w:t>
      </w:r>
    </w:p>
    <w:p>
      <w:pPr>
        <w:pStyle w:val="[Normal]"/>
        <w:spacing w:line="480" w:lineRule="auto"/>
        <w:ind w:firstLine="1134"/>
        <w:jc w:val="both"/>
        <w:rPr>
          <w:lang w:val="es-AR" w:eastAsia="es-AR" w:bidi="es-AR"/>
        </w:rPr>
      </w:pPr>
      <w:r>
        <w:rPr>
          <w:lang w:val="es-AR" w:eastAsia="es-AR" w:bidi="es-AR"/>
        </w:rPr>
        <w:t xml:space="preserve">El recurrente en sus agravios reitera en forma textual lo manifestado en el escrito de contesta demanda, que</w:t>
      </w:r>
      <w:r>
        <w:rPr>
          <w:i/>
          <w:lang w:val="es-AR" w:eastAsia="es-AR" w:bidi="es-AR"/>
        </w:rPr>
        <w:t xml:space="preserve"> "no hubo entrega de dinero a los demandados ni extracción por parte de ellos".  </w:t>
      </w:r>
      <w:r>
        <w:rPr>
          <w:lang w:val="es-AR" w:eastAsia="es-AR" w:bidi="es-AR"/>
        </w:rPr>
        <w:t xml:space="preserve">Sin embargo, de la experticia obrante en autos se vislumbra que la relación negocial entre las partes se remonta al año 2011. Es decir que los demandados como asociados de la Mutual, han accedido -antes de ahora- a sumas de dinero, ya sea por retiro en efectivo, cobro de cheques o depósito en cuentas. Dichas operatorias no han sido desconocidas por las partes demandadas. A su vez, tampoco ha sido desconocido el contrato de mutuo obrante a fs. 17, el que diere inicio al presente reclamo. Por el contrario, expresamente el demandado reconoce haber firmado el instrumento.  </w:t>
      </w:r>
    </w:p>
    <w:p>
      <w:pPr>
        <w:pStyle w:val="[Normal]"/>
        <w:spacing w:line="480" w:lineRule="auto"/>
        <w:ind w:firstLine="1134"/>
        <w:jc w:val="both"/>
        <w:rPr>
          <w:lang w:val="es-AR" w:eastAsia="es-AR" w:bidi="es-AR"/>
        </w:rPr>
      </w:pPr>
      <w:r>
        <w:rPr>
          <w:lang w:val="es-AR" w:eastAsia="es-AR" w:bidi="es-AR"/>
        </w:rPr>
        <w:t xml:space="preserve">Analizando la naturaleza del convenio acompañado, cabe mencionar que el contrato de mutuo es esencialmente real y se perfecciona con la entrega de la cosa (art. 2242 del C.C.), es decir, que la normativa aplicable al caso le otorga un valor constitutivo de la obligación al hecho de la entrega del dinero. Al respecto se ha dicho:</w:t>
      </w:r>
      <w:r>
        <w:rPr>
          <w:i/>
          <w:lang w:val="es-AR" w:eastAsia="es-AR" w:bidi="es-AR"/>
        </w:rPr>
        <w:t xml:space="preserve"> "En cuanto a la forma en que se debe efectuar la entrega, una autorizada opinión, que aquí se comparte, sostiene que ¨la tradición puede hacerse en distintas formas (art. 2377 y ss.) y habrá contrato de mutuo incluso si se acude a una de las tradiciones sin entrega material¨, como en el caso de mutuo brevi manu; en el que la dación se efectúa por tradición abreviada; o si se hace por constituto possessorio, por la transferencia de títulos representativos de la mercadería, la entrega de la suma a un tercero encargado de recibirla por el mutuario, o similares."</w:t>
      </w:r>
      <w:r>
        <w:rPr>
          <w:lang w:val="es-AR" w:eastAsia="es-AR" w:bidi="es-AR"/>
        </w:rPr>
        <w:t xml:space="preserve"> (Augusto C., Belluscio. Eduardo A., Zannoni; Código Civil y Leyes complementarias, Tomo 9, Editorial Astrea de Alfredo y Ricardo Dalma, Bs. As. 2004, comentario art. 2242, pag. 996). En el caso traído a juzgamiento surge pericialmente (escrito de fecha 22/06/18) que "...</w:t>
      </w:r>
      <w:r>
        <w:rPr>
          <w:i/>
          <w:lang w:val="es-AR" w:eastAsia="es-AR" w:bidi="es-AR"/>
        </w:rPr>
        <w:t xml:space="preserve"> se encuentra registrado el asiento relativo al mutuo entre las partes con fecha 17/12/2013. Dicho asiento,  bajo la leyenda:  'emisión de ayuda económica' refleja la operación por un total de $ 385.000 y como  contrapartida la acreditación en cuenta personal de ahorro n° 264 que lleva el título Bertone Guillermo Omar y/o Bertone Carlos Alberto por $ 381.150, la diferencia de $ 3.850 se encuentra acreditada en el mismo asiento a favor de la mutual en la cuenta “recupero de gastos administrativos”.</w:t>
      </w:r>
      <w:r>
        <w:rPr>
          <w:lang w:val="es-AR" w:eastAsia="es-AR" w:bidi="es-AR"/>
        </w:rPr>
        <w:t xml:space="preserve"> Es decir que la mutual ha cumplido con entregar la suma acordada en el contrato de mutuo a los demandados, por medio de una acreditación en cuenta personal, y dicha operación ha sido reflejada en los libros contables pertenecientes a la actora.</w:t>
      </w:r>
    </w:p>
    <w:p>
      <w:pPr>
        <w:pStyle w:val="[Normal]"/>
        <w:spacing w:line="480" w:lineRule="auto"/>
        <w:ind w:firstLine="1134"/>
        <w:jc w:val="both"/>
        <w:rPr>
          <w:lang w:val="es-AR" w:eastAsia="es-AR" w:bidi="es-AR"/>
        </w:rPr>
      </w:pPr>
      <w:r>
        <w:rPr>
          <w:lang w:val="es-AR" w:eastAsia="es-AR" w:bidi="es-AR"/>
        </w:rPr>
        <w:t xml:space="preserve">Ha sostenido la jurisprudencia respecto a la valoración de los registros contables: </w:t>
      </w:r>
      <w:r>
        <w:rPr>
          <w:i/>
          <w:lang w:val="es-AR" w:eastAsia="es-AR" w:bidi="es-AR"/>
        </w:rPr>
        <w:t xml:space="preserve">"Los libros de comercio hacen prueba cuando el adversario no presenta asientos en contra, hechos en instrumentos arreglados a derecho, ni produce una plena y concluyente prueba de la inexactitud de la contabilidad del oponente. La pericia contable en estos libros, aunque fuere el único medio probatorio, hace fe por constituir todo un complejo de acreditaciones, juntamente con la reticencia, en el caso del deudor, y presunciones que se apoyan en hechos acreditados configurando la prueba supletoria que refuerza la eficacia de los libros y documentos de comercio. "</w:t>
      </w:r>
      <w:r>
        <w:rPr>
          <w:lang w:val="es-AR" w:eastAsia="es-AR" w:bidi="es-AR"/>
        </w:rPr>
        <w:t xml:space="preserve"> (CC0001 SM 27661 RSD-19746- S 14/06/1990 Juez BIOCCA (SD) Carátula: Cusenier saic c/Kapusta N. s/Cobro de pesos. Magistrados Votantes: Biocca - Olcese - Uhart. Sumario JUBA  B1950052).</w:t>
      </w:r>
    </w:p>
    <w:p>
      <w:pPr>
        <w:pStyle w:val="[Normal]"/>
        <w:spacing w:line="480" w:lineRule="auto"/>
        <w:ind w:firstLine="1134"/>
        <w:jc w:val="both"/>
        <w:rPr>
          <w:lang w:val="es-AR" w:eastAsia="es-AR" w:bidi="es-AR"/>
        </w:rPr>
      </w:pPr>
      <w:r>
        <w:rPr>
          <w:lang w:val="es-AR" w:eastAsia="es-AR" w:bidi="es-AR"/>
        </w:rPr>
        <w:t xml:space="preserve">En definitiva, no surge de la causa ningún tipo de elemento valorativo que permita deducir la falta de cumplimiento por parte de mutuante, de entregar del dinero objeto del contrato.  </w:t>
      </w:r>
    </w:p>
    <w:p>
      <w:pPr>
        <w:pStyle w:val="[Normal]"/>
        <w:spacing w:line="480" w:lineRule="auto"/>
        <w:ind w:firstLine="1134"/>
        <w:jc w:val="both"/>
        <w:rPr>
          <w:lang w:val="es-AR" w:eastAsia="es-AR" w:bidi="es-AR"/>
        </w:rPr>
      </w:pPr>
      <w:r>
        <w:rPr>
          <w:lang w:val="es-AR" w:eastAsia="es-AR" w:bidi="es-AR"/>
        </w:rPr>
        <w:t xml:space="preserve">En el otro extremo, la actora ha demostrado con la pericial contable el convenio celebrado con la parte, y si bien existe un registro unilateral, acredita con el informe contable, que se ha realizado un depósito en cuenta por la suma que aquí se reclama en una cuenta de propiedad de los demandados. Asimismo, acompaña el instrumento con el cual basa su reclamo, el cual se encuentra firmado por los demandados, y cuyas firmas se encuentran certificadas por notario. Dichas pruebas no han sido revertidas por los demandados. </w:t>
      </w:r>
    </w:p>
    <w:p>
      <w:pPr>
        <w:pStyle w:val="[Normal]"/>
        <w:spacing w:line="480" w:lineRule="auto"/>
        <w:ind w:firstLine="1134"/>
        <w:jc w:val="both"/>
        <w:rPr>
          <w:lang w:val="es-AR" w:eastAsia="es-AR" w:bidi="es-AR"/>
        </w:rPr>
      </w:pPr>
      <w:r>
        <w:rPr>
          <w:lang w:val="es-AR" w:eastAsia="es-AR" w:bidi="es-AR"/>
        </w:rPr>
        <w:t xml:space="preserve">El más Alto Tribunal Provincial tiene dicho respecto a principio de adquisición de la prueba en el proceso y a la valoración que el juzgador puede realizar de aquella:</w:t>
      </w:r>
      <w:r>
        <w:rPr>
          <w:i/>
          <w:lang w:val="es-AR" w:eastAsia="es-AR" w:bidi="es-AR"/>
        </w:rPr>
        <w:t xml:space="preserve"> "... los actos son para el proceso y benefician o perjudican indistintamente a las partes. Cualquiera que sea la procedencia de las probanzas que obren en el expediente, su valoración por los jueces es siempre conducente. Ninguna transgresión a las reglas de las cargas probatorias puede tener cabida, cuando por natural derivación de tal principio, al juez le resulta indiferente establecer a cuál de los litigantes correspondía probar porque, en definitiva, los hechos esenciales de la causa han quedado acreditados."</w:t>
      </w:r>
      <w:r>
        <w:rPr>
          <w:lang w:val="es-AR" w:eastAsia="es-AR" w:bidi="es-AR"/>
        </w:rPr>
        <w:t xml:space="preserve"> (SCBA LP A 72676 RSD-82-18 S 09/05/2018 Juez PETTIGIANI (SD) Carátula: Ibañez, Javier Laureano y otra contra Municipalidad de Esteban Echeverría y otro. Pretensión indemnizatoria. Recurso extraordinario de inaplicabilidad de ley. Magistrados Votantes: Pettigiani-Negri-Soria-de Lázzari. Tribunal Origen: CA0000LP. Sumario JUBA B5050561 ).</w:t>
      </w:r>
    </w:p>
    <w:p>
      <w:pPr>
        <w:pStyle w:val="[Normal]"/>
        <w:spacing w:line="480" w:lineRule="auto"/>
        <w:ind w:firstLine="1134"/>
        <w:jc w:val="both"/>
        <w:rPr>
          <w:lang w:val="es-AR" w:eastAsia="es-AR" w:bidi="es-AR"/>
        </w:rPr>
      </w:pPr>
      <w:r>
        <w:rPr>
          <w:lang w:val="es-AR" w:eastAsia="es-AR" w:bidi="es-AR"/>
        </w:rPr>
        <w:t xml:space="preserve">Del análisis efectuado y la selección cuidadosamente desarrollada en sentencia, no se advierte vicio o absurdo en la valoración probatoria que llevara a la admisión del reclamo, confirmándose desde aquí esta porción puesta en crisis.-</w:t>
      </w:r>
    </w:p>
    <w:p>
      <w:pPr>
        <w:pStyle w:val="[Normal]"/>
        <w:spacing w:line="480" w:lineRule="auto"/>
        <w:ind w:firstLine="1134"/>
        <w:jc w:val="both"/>
        <w:rPr>
          <w:b/>
          <w:lang w:val="es-AR" w:eastAsia="es-AR" w:bidi="es-AR"/>
        </w:rPr>
      </w:pPr>
      <w:r>
        <w:rPr>
          <w:lang w:val="es-AR" w:eastAsia="es-AR" w:bidi="es-AR"/>
        </w:rPr>
        <w:t xml:space="preserve">Por las razones dadas, citas legales de referencia, doctrina y jurisprudencia citada,</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 Juez </w:t>
      </w:r>
      <w:r>
        <w:rPr>
          <w:color w:val="000000"/>
          <w:lang w:val="es-AR" w:eastAsia="es-AR" w:bidi="es-AR"/>
        </w:rPr>
        <w:t xml:space="preserve">Roberto Degleue</w:t>
      </w:r>
      <w:r>
        <w:rPr>
          <w:lang w:val="es-AR" w:eastAsia="es-AR" w:bidi="es-AR"/>
        </w:rPr>
        <w:t xml:space="preserv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w:t>
      </w:r>
      <w:r>
        <w:rPr>
          <w:color w:val="000000"/>
          <w:lang w:val="es-AR" w:eastAsia="es-AR" w:bidi="es-AR"/>
        </w:rPr>
        <w:t xml:space="preserve">Graciela Scaraffia</w:t>
      </w:r>
      <w:r>
        <w:rPr>
          <w:lang w:val="es-AR" w:eastAsia="es-AR" w:bidi="es-AR"/>
        </w:rPr>
        <w:t xml:space="preserv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Con costas al apelante vencido (art. 68 CPCC)</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la señor Juez Roberto Manuel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Con costas al apelante vencido (art. 68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spacing w:line="480" w:lineRule="auto"/>
        <w:ind w:firstLine="1134"/>
        <w:jc w:val="both"/>
        <w:rPr>
          <w:lang w:val="es-AR" w:eastAsia="es-AR" w:bidi="es-AR"/>
        </w:rPr>
      </w:pPr>
    </w:p>
    <w:p>
      <w:pPr>
        <w:pStyle w:val="[Normal]"/>
        <w:spacing w:line="360" w:lineRule="auto"/>
        <w:ind w:firstLine="1134"/>
        <w:jc w:val="both"/>
        <w:rPr>
          <w:b/>
          <w:sz w:val="22"/>
          <w:lang w:val="es-AR" w:eastAsia="es-AR" w:bidi="es-AR"/>
        </w:rPr>
      </w:pPr>
      <w:r>
        <w:rPr>
          <w:lang w:val="es-AR" w:eastAsia="es-AR" w:bidi="es-AR"/>
        </w:rPr>
        <w:t xml:space="preserve">		</w:t>
      </w:r>
      <w:r>
        <w:rPr>
          <w:b/>
          <w:sz w:val="22"/>
          <w:lang w:val="es-AR" w:eastAsia="es-AR" w:bidi="es-AR"/>
        </w:rPr>
        <w:t xml:space="preserve">Roberto Manuel DEGLEUE</w:t>
      </w:r>
    </w:p>
    <w:p>
      <w:pPr>
        <w:pStyle w:val="[Normal]"/>
        <w:ind w:firstLine="1134"/>
        <w:jc w:val="both"/>
        <w:rPr>
          <w:b/>
          <w:sz w:val="22"/>
          <w:lang w:val="es-AR" w:eastAsia="es-AR" w:bidi="es-AR"/>
        </w:rPr>
      </w:pPr>
      <w:r>
        <w:rPr>
          <w:b/>
          <w:sz w:val="22"/>
          <w:lang w:val="es-AR" w:eastAsia="es-AR" w:bidi="es-AR"/>
        </w:rPr>
        <w:t xml:space="preserve">                               Presidente Excma. Cámara de</w:t>
      </w:r>
    </w:p>
    <w:p>
      <w:pPr>
        <w:pStyle w:val="[Normal]"/>
        <w:ind w:firstLine="1134"/>
        <w:jc w:val="both"/>
        <w:rPr>
          <w:b/>
          <w:sz w:val="22"/>
          <w:lang w:val="es-AR" w:eastAsia="es-AR" w:bidi="es-AR"/>
        </w:rPr>
      </w:pPr>
      <w:r>
        <w:rPr>
          <w:b/>
          <w:sz w:val="22"/>
          <w:lang w:val="es-AR" w:eastAsia="es-AR" w:bidi="es-AR"/>
        </w:rPr>
        <w:t xml:space="preserve">                               Apelación en lo Civil y Comercial </w:t>
      </w:r>
    </w:p>
    <w:p>
      <w:pPr>
        <w:pStyle w:val="[Normal]"/>
        <w:ind w:firstLine="1134"/>
        <w:jc w:val="both"/>
        <w:rPr>
          <w:b/>
          <w:sz w:val="22"/>
          <w:lang w:val="es-AR" w:eastAsia="es-AR" w:bidi="es-AR"/>
        </w:rPr>
      </w:pPr>
      <w:r>
        <w:rPr>
          <w:b/>
          <w:sz w:val="22"/>
          <w:lang w:val="es-AR" w:eastAsia="es-AR" w:bidi="es-AR"/>
        </w:rPr>
        <w:t xml:space="preserve">                                  Dpto. Judicial Pergamino</w:t>
      </w:r>
    </w:p>
    <w:p>
      <w:pPr>
        <w:pStyle w:val="[Normal]"/>
        <w:spacing w:line="480" w:lineRule="auto"/>
        <w:ind w:firstLine="1134"/>
        <w:jc w:val="both"/>
        <w:rPr>
          <w:b/>
          <w:sz w:val="22"/>
          <w:lang w:val="es-AR" w:eastAsia="es-AR" w:bidi="es-AR"/>
        </w:rPr>
      </w:pPr>
    </w:p>
    <w:p>
      <w:pPr>
        <w:pStyle w:val="[Normal]"/>
        <w:spacing w:line="480" w:lineRule="auto"/>
        <w:ind w:firstLine="1134"/>
        <w:jc w:val="both"/>
        <w:rPr>
          <w:b/>
          <w:sz w:val="22"/>
          <w:lang w:val="es-AR" w:eastAsia="es-AR" w:bidi="es-AR"/>
        </w:rPr>
      </w:pPr>
    </w:p>
    <w:p>
      <w:pPr>
        <w:pStyle w:val="[Normal]"/>
        <w:ind w:firstLine="1134"/>
        <w:jc w:val="both"/>
        <w:rPr>
          <w:b/>
          <w:sz w:val="22"/>
          <w:lang w:val="es-AR" w:eastAsia="es-AR" w:bidi="es-AR"/>
        </w:rPr>
      </w:pPr>
      <w:r>
        <w:rPr>
          <w:b/>
          <w:sz w:val="22"/>
          <w:lang w:val="es-AR" w:eastAsia="es-AR" w:bidi="es-AR"/>
        </w:rPr>
        <w:t xml:space="preserve">Graciela SCARAFFIA                                              </w:t>
      </w:r>
    </w:p>
    <w:p>
      <w:pPr>
        <w:pStyle w:val="[Normal]"/>
        <w:ind w:firstLine="1134"/>
        <w:jc w:val="both"/>
        <w:rPr>
          <w:b/>
          <w:sz w:val="22"/>
          <w:lang w:val="es-AR" w:eastAsia="es-AR" w:bidi="es-AR"/>
        </w:rPr>
      </w:pPr>
      <w:r>
        <w:rPr>
          <w:b/>
          <w:sz w:val="22"/>
          <w:lang w:val="es-AR" w:eastAsia="es-AR" w:bidi="es-AR"/>
        </w:rPr>
        <w:t xml:space="preserve">          Jueza </w:t>
      </w:r>
    </w:p>
    <w:p>
      <w:pPr>
        <w:pStyle w:val="[Normal]"/>
        <w:ind w:firstLine="1134"/>
        <w:jc w:val="both"/>
        <w:rPr>
          <w:b/>
          <w:sz w:val="22"/>
          <w:lang w:val="es-AR" w:eastAsia="es-AR" w:bidi="es-AR"/>
        </w:rPr>
      </w:pPr>
    </w:p>
    <w:p>
      <w:pPr>
        <w:pStyle w:val="[Normal]"/>
        <w:ind w:firstLine="1134"/>
        <w:jc w:val="both"/>
        <w:rPr>
          <w:b/>
          <w:sz w:val="22"/>
          <w:lang w:val="es-AR" w:eastAsia="es-AR" w:bidi="es-AR"/>
        </w:rPr>
      </w:pPr>
    </w:p>
    <w:p>
      <w:pPr>
        <w:pStyle w:val="[Normal]"/>
        <w:ind w:firstLine="1134"/>
        <w:jc w:val="both"/>
        <w:rPr>
          <w:b/>
          <w:sz w:val="22"/>
          <w:lang w:val="es-AR" w:eastAsia="es-AR" w:bidi="es-AR"/>
        </w:rPr>
      </w:pPr>
    </w:p>
    <w:p>
      <w:pPr>
        <w:pStyle w:val="[Normal]"/>
        <w:ind w:firstLine="1134"/>
        <w:jc w:val="both"/>
        <w:rPr>
          <w:sz w:val="22"/>
          <w:lang w:val="es-AR" w:eastAsia="es-AR" w:bidi="es-AR"/>
        </w:rPr>
      </w:pPr>
      <w:r>
        <w:rPr>
          <w:b/>
          <w:sz w:val="22"/>
          <w:lang w:val="es-AR" w:eastAsia="es-AR" w:bidi="es-AR"/>
        </w:rPr>
        <w:t xml:space="preserve">		</w:t>
      </w:r>
      <w:r>
        <w:rPr>
          <w:sz w:val="22"/>
          <w:lang w:val="es-AR" w:eastAsia="es-AR" w:bidi="es-AR"/>
        </w:rPr>
        <w:t xml:space="preserve">María Magdalena Elustondo</w:t>
      </w:r>
    </w:p>
    <w:p>
      <w:pPr>
        <w:pStyle w:val="[Normal]"/>
        <w:rPr>
          <w:sz w:val="22"/>
          <w:lang w:val="es-AR" w:eastAsia="es-AR" w:bidi="es-AR"/>
        </w:rPr>
      </w:pPr>
      <w:r>
        <w:rPr>
          <w:sz w:val="22"/>
          <w:lang w:val="es-AR" w:eastAsia="es-AR" w:bidi="es-AR"/>
        </w:rPr>
        <w:t xml:space="preserve">			Auxiliar letrada </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