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63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403/409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23 de Mayo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w:t>
      </w:r>
      <w:r>
        <w:rPr>
          <w:b/>
          <w:lang w:val="es-AR" w:eastAsia="es-AR" w:bidi="es-AR"/>
        </w:rPr>
        <w:t xml:space="preserve"> </w:t>
      </w:r>
      <w:r>
        <w:rPr>
          <w:b/>
          <w:color w:val="000000"/>
          <w:lang w:val="es-AR" w:eastAsia="es-AR" w:bidi="es-AR"/>
        </w:rPr>
        <w:t xml:space="preserve">2856-16</w:t>
      </w:r>
      <w:r>
        <w:rPr>
          <w:lang w:val="es-AR" w:eastAsia="es-AR" w:bidi="es-AR"/>
        </w:rPr>
        <w:t xml:space="preserve"> caratulada </w:t>
      </w:r>
      <w:r>
        <w:rPr>
          <w:b/>
          <w:lang w:val="es-AR" w:eastAsia="es-AR" w:bidi="es-AR"/>
        </w:rPr>
        <w:t xml:space="preserve">"</w:t>
      </w:r>
      <w:r>
        <w:rPr>
          <w:b/>
          <w:color w:val="000000"/>
          <w:lang w:val="es-AR" w:eastAsia="es-AR" w:bidi="es-AR"/>
        </w:rPr>
        <w:t xml:space="preserve">MENDIBURU MARIA FLORENCIA  C/ SANTOS NESTOR EMILIO S/ALIMENTOS</w:t>
      </w:r>
      <w:r>
        <w:rPr>
          <w:b/>
          <w:lang w:val="es-AR" w:eastAsia="es-AR" w:bidi="es-AR"/>
        </w:rPr>
        <w:t xml:space="preserve">"</w:t>
      </w:r>
      <w:r>
        <w:rPr>
          <w:lang w:val="es-AR" w:eastAsia="es-AR" w:bidi="es-AR"/>
        </w:rPr>
        <w:t xml:space="preserve">, Expte. N° 11.151</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Roberto Manuel Degleue y Graciela Scaraffía,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El señor Juez de la anterior instancia falló en la presente haciendo lugar a la demanda interpuesta, fijando como cuota alimentaria que el demandado debe abonar mensualmente a la actora en favor de su hija menor la suma de seis mil pesos ($ 6.000), con más el pago de la cuota y matrícula del colegio privado al que concurre la joven y el pago de la prepaga OSAM  u otra obra social similar, haciéndole saber que en caso de incumplimiento en el plazo previsto, se devengarán intereses a una tasa equivalente a la más alta que cobran los bancos a sus clientes según las reglamentaciones del BCRA (art. 552 C.C.C.), difiriendo la fijación de cuota suplementaria para atender las cuotas atrasadas, hasta tanto obre en autos liquidación practicada por la actora. Impuso las costas al demandado perdidoso a cuyo fin regula los honorarios a favor de los letrados intervinientes.</w:t>
      </w:r>
    </w:p>
    <w:p>
      <w:pPr>
        <w:pStyle w:val="[Normal]"/>
        <w:spacing w:line="480" w:lineRule="auto"/>
        <w:ind w:firstLine="1134"/>
        <w:jc w:val="both"/>
        <w:rPr>
          <w:lang w:val="es-AR" w:eastAsia="es-AR" w:bidi="es-AR"/>
        </w:rPr>
      </w:pPr>
      <w:r>
        <w:rPr>
          <w:lang w:val="es-AR" w:eastAsia="es-AR" w:bidi="es-AR"/>
        </w:rPr>
        <w:t xml:space="preserve">El decisorio fue recurrido a fs. 438 por la progenitora del menor, obrando memorial a fs. 443 y a fs. 442 por el accionado, quien lo funda a fs. 454. Asimismo, se han alzado las letradas de la parte actora contra la regulación de honorarios realizada en la sentencia, mediante los escritos electrónicos de fecha 10/10/18.</w:t>
      </w:r>
    </w:p>
    <w:p>
      <w:pPr>
        <w:pStyle w:val="[Normal]"/>
        <w:spacing w:line="480" w:lineRule="auto"/>
        <w:ind w:firstLine="1134"/>
        <w:jc w:val="both"/>
        <w:rPr>
          <w:lang w:val="es-AR" w:eastAsia="es-AR" w:bidi="es-AR"/>
        </w:rPr>
      </w:pPr>
      <w:r>
        <w:rPr>
          <w:lang w:val="es-AR" w:eastAsia="es-AR" w:bidi="es-AR"/>
        </w:rPr>
        <w:t xml:space="preserve">AGRAVIOS DE LA ACTORA: Afirma la apelante que el fallo anterior afecta los elementales principios de razonabilidad, justicia y equidad que debe primar en las decisiones judiciales. </w:t>
      </w:r>
    </w:p>
    <w:p>
      <w:pPr>
        <w:pStyle w:val="[Normal]"/>
        <w:spacing w:line="480" w:lineRule="auto"/>
        <w:ind w:firstLine="1134"/>
        <w:jc w:val="both"/>
        <w:rPr>
          <w:lang w:val="es-AR" w:eastAsia="es-AR" w:bidi="es-AR"/>
        </w:rPr>
      </w:pPr>
      <w:r>
        <w:rPr>
          <w:lang w:val="es-AR" w:eastAsia="es-AR" w:bidi="es-AR"/>
        </w:rPr>
        <w:t xml:space="preserve">Sostiene que el </w:t>
      </w:r>
      <w:r>
        <w:rPr>
          <w:i/>
          <w:lang w:val="es-AR" w:eastAsia="es-AR" w:bidi="es-AR"/>
        </w:rPr>
        <w:t xml:space="preserve">a-quo</w:t>
      </w:r>
      <w:r>
        <w:rPr>
          <w:lang w:val="es-AR" w:eastAsia="es-AR" w:bidi="es-AR"/>
        </w:rPr>
        <w:t xml:space="preserve"> concluye erróneamente sobre el aporte que el demandado debe abonar en pos de satisfacer las necesidades de su hija, ya que si bien aumenta el monto en relación a la cuota provisoria fijada oportunamente, omite uno de los rubros, que es el club. En definitiva la cuota fijada en la sentencia es igual o menor a la fijada como provisoria dos años antes, remarcando que aumenta sólo dos mil pesos ($ 2.000) la cuota provisoria y quita el rubro club, es decir no satisface las necesidades más básicas de la menor.</w:t>
      </w:r>
    </w:p>
    <w:p>
      <w:pPr>
        <w:pStyle w:val="[Normal]"/>
        <w:spacing w:line="480" w:lineRule="auto"/>
        <w:ind w:firstLine="1134"/>
        <w:jc w:val="both"/>
        <w:rPr>
          <w:lang w:val="es-AR" w:eastAsia="es-AR" w:bidi="es-AR"/>
        </w:rPr>
      </w:pPr>
      <w:r>
        <w:rPr>
          <w:lang w:val="es-AR" w:eastAsia="es-AR" w:bidi="es-AR"/>
        </w:rPr>
        <w:t xml:space="preserve">En consecuencia, peticiona se condene al demandado a abonar la cuota de alimentos de seis mil pesos, con más el pago en especie de los rubros matrícula y cuota del colegio privado, prepaga y cuota del club al que concurra, con expresa imposición de costas a la contraria.</w:t>
      </w:r>
    </w:p>
    <w:p>
      <w:pPr>
        <w:pStyle w:val="[Normal]"/>
        <w:spacing w:line="480" w:lineRule="auto"/>
        <w:ind w:firstLine="1134"/>
        <w:jc w:val="both"/>
        <w:rPr>
          <w:lang w:val="es-AR" w:eastAsia="es-AR" w:bidi="es-AR"/>
        </w:rPr>
      </w:pPr>
      <w:r>
        <w:rPr>
          <w:lang w:val="es-AR" w:eastAsia="es-AR" w:bidi="es-AR"/>
        </w:rPr>
        <w:t xml:space="preserve">AGRAVIOS DE LAS LETRADAS DE LA PARTE ACTORA: En los escritos electrónicos de fecha 10/10/18 presentados por las letradas patrocinantes de la parte actora, obran recursos de apelación contra los honorarios regulados a su favor, cuestionando la base regulatoria tomada a tal efecto y por considerar los mismos bajos. Corridos los correspondientes traslados, a fs. 457 se le dio por perdido el derecho dejado de usar al accionado.</w:t>
      </w:r>
    </w:p>
    <w:p>
      <w:pPr>
        <w:pStyle w:val="[Normal]"/>
        <w:spacing w:line="480" w:lineRule="auto"/>
        <w:ind w:firstLine="1134"/>
        <w:jc w:val="both"/>
        <w:rPr>
          <w:lang w:val="es-AR" w:eastAsia="es-AR" w:bidi="es-AR"/>
        </w:rPr>
      </w:pPr>
      <w:r>
        <w:rPr>
          <w:lang w:val="es-AR" w:eastAsia="es-AR" w:bidi="es-AR"/>
        </w:rPr>
        <w:t xml:space="preserve">AGRAVIOS PARTE DEMANDADA: Se agravia el recurrente de la sentencia que fija la cuota alimentaria por considerar que dicho monto carecer de fundamento razonable. Aduce que el </w:t>
      </w:r>
      <w:r>
        <w:rPr>
          <w:i/>
          <w:lang w:val="es-AR" w:eastAsia="es-AR" w:bidi="es-AR"/>
        </w:rPr>
        <w:t xml:space="preserve">a-quo</w:t>
      </w:r>
      <w:r>
        <w:rPr>
          <w:lang w:val="es-AR" w:eastAsia="es-AR" w:bidi="es-AR"/>
        </w:rPr>
        <w:t xml:space="preserve"> resolvió presumiendo erróneamente sus ingresos, sin valorar la prueba rendida, basándose en indicios y citas doctrinarias y jurisprudenciales.</w:t>
      </w:r>
    </w:p>
    <w:p>
      <w:pPr>
        <w:pStyle w:val="[Normal]"/>
        <w:spacing w:line="480" w:lineRule="auto"/>
        <w:ind w:firstLine="1134"/>
        <w:jc w:val="both"/>
        <w:rPr>
          <w:lang w:val="es-AR" w:eastAsia="es-AR" w:bidi="es-AR"/>
        </w:rPr>
      </w:pPr>
      <w:r>
        <w:rPr>
          <w:lang w:val="es-AR" w:eastAsia="es-AR" w:bidi="es-AR"/>
        </w:rPr>
        <w:t xml:space="preserve">Sostiene que se encuentran acreditados los ingresos que percibe, variables de acuerdo a la actividad comercial que desarrolla, que ha quedado demostrado -mediante prueba testimonial e informe de dominio de fs. 378/83- que no es propietario del campo que pretende atribuirle la actora.</w:t>
      </w:r>
    </w:p>
    <w:p>
      <w:pPr>
        <w:pStyle w:val="[Normal]"/>
        <w:spacing w:line="480" w:lineRule="auto"/>
        <w:ind w:firstLine="1134"/>
        <w:jc w:val="both"/>
        <w:rPr>
          <w:lang w:val="es-AR" w:eastAsia="es-AR" w:bidi="es-AR"/>
        </w:rPr>
      </w:pPr>
      <w:r>
        <w:rPr>
          <w:lang w:val="es-AR" w:eastAsia="es-AR" w:bidi="es-AR"/>
        </w:rPr>
        <w:t xml:space="preserve">Reconoce que trabaja con un camión modelo 2008, que la vivienda fue construida sobre un terreno donado por sus padres -ignorando el juez anterior que se encuentra abonando un crédito hipotecario (fs. 164), además que es titular de una cuenta bancaria y dos tarjetas de crédito, a fin de financiar sus giros comerciales y/o de su vida personal.</w:t>
      </w:r>
    </w:p>
    <w:p>
      <w:pPr>
        <w:pStyle w:val="[Normal]"/>
        <w:spacing w:line="480" w:lineRule="auto"/>
        <w:ind w:firstLine="1134"/>
        <w:jc w:val="both"/>
        <w:rPr>
          <w:lang w:val="es-AR" w:eastAsia="es-AR" w:bidi="es-AR"/>
        </w:rPr>
      </w:pPr>
      <w:r>
        <w:rPr>
          <w:lang w:val="es-AR" w:eastAsia="es-AR" w:bidi="es-AR"/>
        </w:rPr>
        <w:t xml:space="preserve">Afirma que la actora no trabaja y no se encuentra impedida de desarrollarse laboralmente, que debería ser económicamente activa para contar con ingresos propios y que omite el </w:t>
      </w:r>
      <w:r>
        <w:rPr>
          <w:i/>
          <w:lang w:val="es-AR" w:eastAsia="es-AR" w:bidi="es-AR"/>
        </w:rPr>
        <w:t xml:space="preserve">a-quo</w:t>
      </w:r>
      <w:r>
        <w:rPr>
          <w:lang w:val="es-AR" w:eastAsia="es-AR" w:bidi="es-AR"/>
        </w:rPr>
        <w:t xml:space="preserve">  los aportes que realiza la actual pareja de aquella (canon locativo y demás gastos de la vivienda que comparten).</w:t>
      </w:r>
    </w:p>
    <w:p>
      <w:pPr>
        <w:pStyle w:val="[Normal]"/>
        <w:spacing w:line="480" w:lineRule="auto"/>
        <w:ind w:firstLine="1134"/>
        <w:jc w:val="both"/>
        <w:rPr>
          <w:lang w:val="es-AR" w:eastAsia="es-AR" w:bidi="es-AR"/>
        </w:rPr>
      </w:pPr>
      <w:r>
        <w:rPr>
          <w:lang w:val="es-AR" w:eastAsia="es-AR" w:bidi="es-AR"/>
        </w:rPr>
        <w:t xml:space="preserve">Finalmente señala que la actora se niega que pueda integrar a la menor a la obra social I.O.M.A. a la cual se encuentra adherido, ante la imposibilidad de abonar una prepaga. Cita jurisprudencia de aplicación y solicita se revoque el fallo apelado manteniéndose el status quo existente previo al inicio de las presentes actuaciones.</w:t>
      </w:r>
    </w:p>
    <w:p>
      <w:pPr>
        <w:pStyle w:val="[Normal]"/>
        <w:spacing w:line="480" w:lineRule="auto"/>
        <w:ind w:firstLine="1134"/>
        <w:jc w:val="both"/>
        <w:rPr>
          <w:lang w:val="es-AR" w:eastAsia="es-AR" w:bidi="es-AR"/>
        </w:rPr>
      </w:pPr>
      <w:r>
        <w:rPr>
          <w:lang w:val="es-AR" w:eastAsia="es-AR" w:bidi="es-AR"/>
        </w:rPr>
        <w:t xml:space="preserve">Conferidos los traslado pertinentes, fueron contestados por la actora a fs. 458/9 y por el demandado a fs. 446/vta. quienes peticionaron el rechazo de los recursos deducidos rebatiendo los argumentos esgrimidos por la contraparte. A fs. 461 la señora Asesora de Incapaces contesta la vista conferida, quien se expide en orden a que el recurso interpuesto por la demandada no debe prosperar, considerando que la cuota fijada por el </w:t>
      </w:r>
      <w:r>
        <w:rPr>
          <w:i/>
          <w:lang w:val="es-AR" w:eastAsia="es-AR" w:bidi="es-AR"/>
        </w:rPr>
        <w:t xml:space="preserve">a quo</w:t>
      </w:r>
      <w:r>
        <w:rPr>
          <w:lang w:val="es-AR" w:eastAsia="es-AR" w:bidi="es-AR"/>
        </w:rPr>
        <w:t xml:space="preserve"> no resulta desmedida ni injustificada. Respecto a los agravios presentados por la actora, adhiere a los fundamentos vertidos por la recurrente, ya que el abono del club se encontraba incluido en la cuota provisoria fijada en autos, en consecuencia solicita se revoque parcialmente la sentencia dictada por el juez de grado.-</w:t>
      </w:r>
    </w:p>
    <w:p>
      <w:pPr>
        <w:pStyle w:val="[Normal]"/>
        <w:spacing w:line="480" w:lineRule="auto"/>
        <w:ind w:firstLine="1134"/>
        <w:jc w:val="both"/>
        <w:rPr>
          <w:lang w:val="es-AR" w:eastAsia="es-AR" w:bidi="es-AR"/>
        </w:rPr>
      </w:pPr>
      <w:r>
        <w:rPr>
          <w:lang w:val="es-AR" w:eastAsia="es-AR" w:bidi="es-AR"/>
        </w:rPr>
        <w:t xml:space="preserve">A fs. 463 se dictó el llamamiento de autos de fecha 14 de marzo de 2019, que habiendo adquirido firmeza a la fecha, deja la causa en condiciones de ser fallada. </w:t>
      </w:r>
    </w:p>
    <w:p>
      <w:pPr>
        <w:pStyle w:val="[Normal]"/>
        <w:spacing w:line="480" w:lineRule="auto"/>
        <w:ind w:firstLine="1134"/>
        <w:jc w:val="both"/>
        <w:rPr>
          <w:lang w:val="es-AR" w:eastAsia="es-AR" w:bidi="es-AR"/>
        </w:rPr>
      </w:pPr>
      <w:r>
        <w:rPr>
          <w:lang w:val="es-AR" w:eastAsia="es-AR" w:bidi="es-AR"/>
        </w:rPr>
        <w:t xml:space="preserve">Ya en tarea, liminarmente he de señalar que en el sub lite, resulta de aplicación el nuevo Código Civil y Comercial,  toda vez que se trata de los efectos o consecuencias aún existentes y no consumados del derecho alimentario de la menor. Cabe aclarar por otra parte que,  la nueva legislación no ha variado sustancialmente lo establecido  por el Código Civil (ref. por ley 23264),  y ha recepcionado normativamente aquello que con fundamento en la doctrina y jurisprudencia este Tribunal venía resolviendo.- </w:t>
      </w:r>
    </w:p>
    <w:p>
      <w:pPr>
        <w:pStyle w:val="[Normal]"/>
        <w:spacing w:line="480" w:lineRule="auto"/>
        <w:ind w:firstLine="1134"/>
        <w:jc w:val="both"/>
        <w:rPr>
          <w:lang w:val="es-AR" w:eastAsia="es-AR" w:bidi="es-AR"/>
        </w:rPr>
      </w:pPr>
      <w:r>
        <w:rPr>
          <w:lang w:val="es-AR" w:eastAsia="es-AR" w:bidi="es-AR"/>
        </w:rPr>
        <w:t xml:space="preserve">El quantum de la prestación alimentaria debe determinarse atendiendo el interés superior del niño y su derecho al sustento y a un nivel de vida adecuado (arts. 3 inc. 1, 6, 24, 27 inc. 1, 28 y 31 de la CDN; art. 75 inc. 22 CN).</w:t>
      </w:r>
    </w:p>
    <w:p>
      <w:pPr>
        <w:pStyle w:val="[Normal]"/>
        <w:spacing w:line="480" w:lineRule="auto"/>
        <w:ind w:firstLine="1134"/>
        <w:jc w:val="both"/>
        <w:rPr>
          <w:lang w:val="es-AR" w:eastAsia="es-AR" w:bidi="es-AR"/>
        </w:rPr>
      </w:pPr>
      <w:r>
        <w:rPr>
          <w:lang w:val="es-AR" w:eastAsia="es-AR" w:bidi="es-AR"/>
        </w:rPr>
        <w:t xml:space="preserve">Las pautas para determinar el monto de la prestación alimentaria a que tiene derecho la menor parten del sistema de igualdad de padre y madre que establece la normativa fondal incidiendo en ello la situación económica de las partes, pues  el deber de contribución de los padres al sostenimiento de los hijos comunes es en proporción a sus recursos (arts. 646, 648 y. 455 del Código Civil y Comercial). 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 y en relación a la edad de los mismos al momento de fijarlos, así como a la contribución que realiza el progenitor conviviente, a través del cuidado personal del menor (arts. 642; 658, 659 y ssg. del C.C.C. 646 del C.C.y C.).  </w:t>
      </w:r>
    </w:p>
    <w:p>
      <w:pPr>
        <w:pStyle w:val="[Normal]"/>
        <w:spacing w:line="480" w:lineRule="auto"/>
        <w:ind w:firstLine="1134"/>
        <w:jc w:val="both"/>
        <w:rPr>
          <w:lang w:val="es-AR" w:eastAsia="es-AR" w:bidi="es-AR"/>
        </w:rPr>
      </w:pPr>
      <w:r>
        <w:rPr>
          <w:lang w:val="es-AR" w:eastAsia="es-AR" w:bidi="es-AR"/>
        </w:rPr>
        <w:t xml:space="preserve">Que en nuestro caso, la cuota provisoria fijada por el juez de grado a fs. 50/51 ascendía a la suma de $4.000 y añadía el pago en especie del colegio, club y obra social. Que el monto correspondiente al pago de estos tres rubros, ha sido peticionado por la accionante en su escrito de demanda y, surge de las pruebas producidas en autos, que eran afrontados por el progenitor de la menor, incluso antes de iniciar el presente reclamo (ver escrito de demanda fs. 39 Vta. quinto párrafo). Ello fue reconocido personalmente por el demandado en su respuesta 24 del acta de audiencia obrante a fs. 127. </w:t>
      </w:r>
    </w:p>
    <w:p>
      <w:pPr>
        <w:pStyle w:val="[Normal]"/>
        <w:spacing w:line="480" w:lineRule="auto"/>
        <w:ind w:firstLine="1134"/>
        <w:jc w:val="both"/>
        <w:rPr>
          <w:lang w:val="es-AR" w:eastAsia="es-AR" w:bidi="es-AR"/>
        </w:rPr>
      </w:pPr>
      <w:r>
        <w:rPr>
          <w:lang w:val="es-AR" w:eastAsia="es-AR" w:bidi="es-AR"/>
        </w:rPr>
        <w:t xml:space="preserve">Es sabido que en la sentencia se puede fijar como cuota alimentaria, parte en efectivo y parte en especie; esta última opción es una herramienta a la que se puede acudir a fin de obtener una actualización de la cuota al ritmo inflacionario que es de público y notorio azota a nuestro país. Ello en cuanto, "</w:t>
      </w:r>
      <w:r>
        <w:rPr>
          <w:i/>
          <w:lang w:val="es-AR" w:eastAsia="es-AR" w:bidi="es-AR"/>
        </w:rPr>
        <w:t xml:space="preserve">si bien actualiza -en su plenitud- el incremento del costo de vida de aquellos items de la cuota alimentaria que se abonan en especie, lo hacen de forma indirecta, no estando prohibida esa forma de actualización en materia de alimentos</w:t>
      </w:r>
      <w:r>
        <w:rPr>
          <w:lang w:val="es-AR" w:eastAsia="es-AR" w:bidi="es-AR"/>
        </w:rPr>
        <w:t xml:space="preserve">." (Cfr.Claudio A. Belluscio, "Alimentos según el nuevo Código Civil, Ed. García Alonso, Bs. As. 2015, Pag. 102).  </w:t>
      </w:r>
    </w:p>
    <w:p>
      <w:pPr>
        <w:pStyle w:val="[Normal]"/>
        <w:spacing w:line="480" w:lineRule="auto"/>
        <w:ind w:firstLine="1134"/>
        <w:jc w:val="both"/>
        <w:rPr>
          <w:lang w:val="es-AR" w:eastAsia="es-AR" w:bidi="es-AR"/>
        </w:rPr>
      </w:pPr>
      <w:r>
        <w:rPr>
          <w:lang w:val="es-AR" w:eastAsia="es-AR" w:bidi="es-AR"/>
        </w:rPr>
        <w:t xml:space="preserve">Sentado lo anterior, es preciso modificar la sentencia de grado en este sentido, agregando que a la cuota definitiva fijada por el juez de primera instancia, deberá adicionarse en especie el pago del club al que concurra la menor S.M.; C., tal como se había impuesto a fs. 50/1 al fijarse los alimentos provisorios.          </w:t>
      </w:r>
    </w:p>
    <w:p>
      <w:pPr>
        <w:pStyle w:val="[Normal]"/>
        <w:spacing w:line="480" w:lineRule="auto"/>
        <w:ind w:firstLine="1134"/>
        <w:jc w:val="both"/>
        <w:rPr>
          <w:lang w:val="es-AR" w:eastAsia="es-AR" w:bidi="es-AR"/>
        </w:rPr>
      </w:pPr>
      <w:r>
        <w:rPr>
          <w:lang w:val="es-AR" w:eastAsia="es-AR" w:bidi="es-AR"/>
        </w:rPr>
        <w:t xml:space="preserve">Ingresando al tratamiento de los agravios presentados por el demandado, debemos señalar que el mismo alcanza mínimamente la crítica concreta y razonada exigida por imperio del art. 260 del CPCC y su doctrina.  Maguer, y en virtud del derecho constitucional de la defensa en juicio, habré de analizar las cuestiones traídas, señalando que la revisión de Alzada está limitada por aquellas cuestiones propuestas en el escrito respectivo (art. 18 de la C.N).</w:t>
      </w:r>
    </w:p>
    <w:p>
      <w:pPr>
        <w:pStyle w:val="[Normal]"/>
        <w:spacing w:line="480" w:lineRule="auto"/>
        <w:ind w:firstLine="1134"/>
        <w:jc w:val="both"/>
        <w:rPr>
          <w:lang w:val="es-AR" w:eastAsia="es-AR" w:bidi="es-AR"/>
        </w:rPr>
      </w:pPr>
      <w:r>
        <w:rPr>
          <w:lang w:val="es-AR" w:eastAsia="es-AR" w:bidi="es-AR"/>
        </w:rPr>
        <w:t xml:space="preserve">Partiendo de dicha base, debo adelantar opinión que examinados los antecedentes y analizados los fundamentos del recurso traído, no puede prosperar y paso a dar las razones de ello.</w:t>
      </w:r>
    </w:p>
    <w:p>
      <w:pPr>
        <w:pStyle w:val="[Normal]"/>
        <w:spacing w:line="480" w:lineRule="auto"/>
        <w:ind w:firstLine="1134"/>
        <w:jc w:val="both"/>
        <w:rPr>
          <w:lang w:val="es-AR" w:eastAsia="es-AR" w:bidi="es-AR"/>
        </w:rPr>
      </w:pPr>
      <w:r>
        <w:rPr>
          <w:lang w:val="es-AR" w:eastAsia="es-AR" w:bidi="es-AR"/>
        </w:rPr>
        <w:t xml:space="preserve">Es sabido que corresponde a ambos progenitores en la proporción de sus respectivos ingresos la obligación alimentaria, debiendo considerarse la contribución del progenitor con quien el hijo reside de manera principal (doctr. art. 650 y ccs. del CCC), pues éste realiza aportes en especie de significación económica, además de la atención que presta al hijo en los múltiples requerimientos cotidianos, y que implica una inversión de tiempo a la que debe atribuírsele valor.  </w:t>
      </w:r>
    </w:p>
    <w:p>
      <w:pPr>
        <w:pStyle w:val="[Normal]"/>
        <w:spacing w:line="480" w:lineRule="auto"/>
        <w:ind w:firstLine="1134"/>
        <w:jc w:val="both"/>
        <w:rPr>
          <w:lang w:val="es-AR" w:eastAsia="es-AR" w:bidi="es-AR"/>
        </w:rPr>
      </w:pPr>
      <w:r>
        <w:rPr>
          <w:i/>
          <w:lang w:val="es-AR" w:eastAsia="es-AR" w:bidi="es-AR"/>
        </w:rPr>
        <w:t xml:space="preserve">"El Código Civil y Comercial de la Nación reconoce de manera precisa en su artículo 660 que las tareas cotidianas que realiza el progenitor que ha asumido el cuidado personal del hijo tienen un valor económico y constituyen un aporte a su manutención, de esta manera quien se queda a cargo del cuidado personal del hijo contribuye en especie al cumplimiento de la obligación alimentaria a su cargo. Esta consideración se deriva de la obligada perspectiva de género, por la cual se defiende la idea de que el trabajo en el hogar tiene valor económico y que ello debe estar expresamente contemplado, debiendo ser computado a los fines del cumplimiento de la obligación alimentaria a cargo de ambos progenitores: uno lo cumplirá en especie a través del cuidado, y el otro, en dinero o en dinero y en especie"</w:t>
      </w:r>
      <w:r>
        <w:rPr>
          <w:lang w:val="es-AR" w:eastAsia="es-AR" w:bidi="es-AR"/>
        </w:rPr>
        <w:t xml:space="preserve">. (CC0203 LP 122054 RSD-141-17 S 17/08/2017 Juez SOTO (SD) Carátula: Couselo, Alina Estela c/ Arroyo, Cesar Damián s/ Alimentos Magistrados Votantes: Soto-Larumbe. Tribunal Origen: JZ0000MT Sumario Juba B356612). </w:t>
      </w:r>
    </w:p>
    <w:p>
      <w:pPr>
        <w:pStyle w:val="[Normal]"/>
        <w:spacing w:line="480" w:lineRule="auto"/>
        <w:ind w:firstLine="1134"/>
        <w:jc w:val="both"/>
        <w:rPr>
          <w:lang w:val="es-AR" w:eastAsia="es-AR" w:bidi="es-AR"/>
        </w:rPr>
      </w:pPr>
      <w:r>
        <w:rPr>
          <w:lang w:val="es-AR" w:eastAsia="es-AR" w:bidi="es-AR"/>
        </w:rPr>
        <w:t xml:space="preserve">Que en nuestro caso, con la documental agregada por la accionante, las contestaciones de oficio obrantes a fs. 247/49, 250/52, 253/57 y las testimoniales producidas en autos (fs. 129, 130 y 132), se encuentran acreditados en debida forma los gastos que afronta la progenitora para la manutención de la menor a su cargo. Dicho extremo se fortalece con la declaración testimonial obrante a fs. 361, donde el Sr. Biscaysacu, actual pareja de la actora, enuncia los gastos que él en forma personal afronta para la manutención de S.M.; C.</w:t>
      </w:r>
    </w:p>
    <w:p>
      <w:pPr>
        <w:pStyle w:val="[Normal]"/>
        <w:spacing w:line="480" w:lineRule="auto"/>
        <w:ind w:firstLine="1134"/>
        <w:jc w:val="both"/>
        <w:rPr>
          <w:lang w:val="es-AR" w:eastAsia="es-AR" w:bidi="es-AR"/>
        </w:rPr>
      </w:pPr>
      <w:r>
        <w:rPr>
          <w:lang w:val="es-AR" w:eastAsia="es-AR" w:bidi="es-AR"/>
        </w:rPr>
        <w:t xml:space="preserve">En la especie, no resulta atendible el planteo del accionado que se centra en que el monto fijado por el juez</w:t>
      </w:r>
      <w:r>
        <w:rPr>
          <w:i/>
          <w:lang w:val="es-AR" w:eastAsia="es-AR" w:bidi="es-AR"/>
        </w:rPr>
        <w:t xml:space="preserve"> a quo</w:t>
      </w:r>
      <w:r>
        <w:rPr>
          <w:lang w:val="es-AR" w:eastAsia="es-AR" w:bidi="es-AR"/>
        </w:rPr>
        <w:t xml:space="preserve"> resulta exorbitante y de imposible cumplimiento, dado que si bien no se encuentra acreditado plenamente el monto total de los ingresos del demandado, se trata de una persona joven - 40 años-, que no ha invocado problemas de salud ni de otra índole y resulta dueño de la vivienda en donde vive, sin perjuicio que sobre la misma está pagando un crédito por la construcción del programa PROCREAR (ver fs. 164). Dicha circunstancia no obsta a analizar que también es propietario de una camioneta 4x4 pick up (fs. 389) y de un camión (fs. 391), con el que se dedica a realizar viajes en épocas de cosecha transportando cereal. Conforme surge de las testimoniales, el actor es camionero, es propietario del camión con que trabaja, realiza viajes para el centro de camioneros de Alfonso en época de cosecha, a quien le factura y que "</w:t>
      </w:r>
      <w:r>
        <w:rPr>
          <w:i/>
          <w:lang w:val="es-AR" w:eastAsia="es-AR" w:bidi="es-AR"/>
        </w:rPr>
        <w:t xml:space="preserve">el nivel de vida de Emilio es medio"</w:t>
      </w:r>
      <w:r>
        <w:rPr>
          <w:lang w:val="es-AR" w:eastAsia="es-AR" w:bidi="es-AR"/>
        </w:rPr>
        <w:t xml:space="preserve"> (fs. 146), "</w:t>
      </w:r>
      <w:r>
        <w:rPr>
          <w:i/>
          <w:lang w:val="es-AR" w:eastAsia="es-AR" w:bidi="es-AR"/>
        </w:rPr>
        <w:t xml:space="preserve">normal, no tira manteca al techo y tampoco vive mal</w:t>
      </w:r>
      <w:r>
        <w:rPr>
          <w:lang w:val="es-AR" w:eastAsia="es-AR" w:bidi="es-AR"/>
        </w:rPr>
        <w:t xml:space="preserve"> (fs. 147). Sobre dichas declaraciones no medió planteo en orden a su idoneidad (art. 456 CPCC) y su valoración siguió los lineamientos establecidos por la norma de rito (art. 384 CPCC). Del resto de la prueba producida en autos, tenemos que es titular de cuentas bancarias (fs. 350), realiza declaraciones juradas ante AFIP y ARBA por su actividad y por sumas considerables (fs. 263/345 y 364/371). En definitiva, su estado patrimonial es bueno, y no debe afrontar otras cargas de familia que le dificulten cumplir con la cuota aquí en examen. En relación al campo denunciado, si bien se ha acreditado que no es de su propiedad (ver informe de fs. 378/382), sí lo es de su padre, y con las testimoniales se ha demostrado que laborea con su padre el campo de referencia, circunstancia confirmada en la confesional prestada en autos (Fs. 127) y de la que es dable presumir obtiene algún ingreso que se aduna a su actividad de transportista.</w:t>
      </w:r>
    </w:p>
    <w:p>
      <w:pPr>
        <w:pStyle w:val="[Normal]"/>
        <w:spacing w:line="480" w:lineRule="auto"/>
        <w:ind w:firstLine="1134"/>
        <w:jc w:val="both"/>
        <w:rPr>
          <w:lang w:val="es-AR" w:eastAsia="es-AR" w:bidi="es-AR"/>
        </w:rPr>
      </w:pPr>
      <w:r>
        <w:rPr>
          <w:i/>
          <w:lang w:val="es-AR" w:eastAsia="es-AR" w:bidi="es-AR"/>
        </w:rPr>
        <w:t xml:space="preserve">"En materia de alimentos, cuando no es posible la obtención de la prueba directa de los ingresos con que cuenta el obligado, o no pueda decirse que los mismos sean iguales todos los meses, la cuota debe fijarse en base a los indicios que permiten presumir determinada situación económica y de ganancias del demandado, cuya apreciación ha de hacerse con criterio amplio a favor de la prestación que se reclama en razón de las necesidades a satisfacer." </w:t>
      </w:r>
      <w:r>
        <w:rPr>
          <w:lang w:val="es-AR" w:eastAsia="es-AR" w:bidi="es-AR"/>
        </w:rPr>
        <w:t xml:space="preserve">(confr.CC0100 SN causa11640 S16/10/2014). </w:t>
      </w:r>
    </w:p>
    <w:p>
      <w:pPr>
        <w:pStyle w:val="[Normal]"/>
        <w:spacing w:line="480" w:lineRule="auto"/>
        <w:ind w:firstLine="1134"/>
        <w:jc w:val="both"/>
        <w:rPr>
          <w:lang w:val="es-AR" w:eastAsia="es-AR" w:bidi="es-AR"/>
        </w:rPr>
      </w:pPr>
      <w:r>
        <w:rPr>
          <w:i/>
          <w:lang w:val="es-AR" w:eastAsia="es-AR" w:bidi="es-AR"/>
        </w:rPr>
        <w:t xml:space="preserve">"No es necesaria la determinación exacta de la capacidad económica, si hay otros elementos de los que deducirla. (confr. este Tribunal causas Nº 687 RSD 113/10; Nº 1571 RSD 51/13) y se ha dicho también desde organismos de alzada, que 'El caudal económico del demandado por alimentos puede acreditarse directa o indirectamente. En este último caso, emerge de la forma habitual en que desarrolla su vida y los recursos económicos que presupone, valorados por ejemplo a través de sus actividades, pues su exteriorización implica la existencia de medios suficientes para desenvolverlas. Es decir, más allá de la prueba directa sobre el monto de los ingresos mensuales, también son decisivos los elementos indiciarios sobre la condición social del alimentante.'(confr. Cám. Civ. y Com. DO, causa 86722, RSD 55/08)" (confr. este Tribunal causa N° 1825-13 RSD 108/13).</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Estimo en consecuencia, ajustada a las circunstancias de autos la mensualidad destinada a alimentos a favor de la menor S.M.; C. establecida a cargo del progenitor, toda vez que este último ha omitido demostrar que la cuota fijada resulta excesiva en relación a los contenidos de la obligación y desproporcionados a sus posibilidades.</w:t>
      </w:r>
    </w:p>
    <w:p>
      <w:pPr>
        <w:pStyle w:val="[Normal]"/>
        <w:spacing w:line="480" w:lineRule="auto"/>
        <w:ind w:firstLine="1134"/>
        <w:jc w:val="both"/>
        <w:rPr>
          <w:lang w:val="es-AR" w:eastAsia="es-AR" w:bidi="es-AR"/>
        </w:rPr>
      </w:pPr>
      <w:r>
        <w:rPr>
          <w:lang w:val="es-AR" w:eastAsia="es-AR" w:bidi="es-AR"/>
        </w:rPr>
        <w:t xml:space="preserve">Por último, en cuanto a los recursos deducidos por las letradas patrocinantes de la actora, respecto a los honorarios regulados en primera instancia, dado el modo en que aquí se resuelve respecto a la cuota alimentaria adunando un rubro en especie, se deberá dejar sin efecto la regulación efectuada en la anterior instancia. Pero por fuera de dicha modificación, asiste razón a las recurrentes en orden a que la regulación de los aranceles profesionales en autos debe diferirse hasta que se practique liquidación y se determine la base de la misma, esto es el momento de determinar los alimentos, integrados por una porción en dinero y otra en especie (art. 39 Decreto Ley 8904 en relación con el art. 51 de la misma norma). </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señora Jueza </w:t>
      </w:r>
      <w:r>
        <w:rPr>
          <w:b/>
          <w:color w:val="000000"/>
          <w:lang w:val="es-AR" w:eastAsia="es-AR" w:bidi="es-AR"/>
        </w:rPr>
        <w:t xml:space="preserve">Graciela SCARAFFIA</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w:t>
      </w:r>
      <w:r>
        <w:rPr>
          <w:b/>
          <w:lang w:val="es-AR" w:eastAsia="es-AR" w:bidi="es-AR"/>
        </w:rPr>
        <w:t xml:space="preserve">SEGUNDA CUESTION</w:t>
      </w:r>
      <w:r>
        <w:rPr>
          <w:lang w:val="es-AR" w:eastAsia="es-AR" w:bidi="es-AR"/>
        </w:rPr>
        <w:t xml:space="preserve"> el señor Juez </w:t>
      </w:r>
      <w:r>
        <w:rPr>
          <w:b/>
          <w:color w:val="000000"/>
          <w:lang w:val="es-AR" w:eastAsia="es-AR" w:bidi="es-AR"/>
        </w:rPr>
        <w:t xml:space="preserve">Roberto M. DEGLEUE</w:t>
      </w:r>
      <w:r>
        <w:rPr>
          <w:b/>
          <w:lang w:val="es-AR" w:eastAsia="es-AR" w:bidi="es-AR"/>
        </w:rPr>
        <w:t xml:space="preserve"> </w:t>
      </w:r>
      <w:r>
        <w:rPr>
          <w:lang w:val="es-AR" w:eastAsia="es-AR" w:bidi="es-AR"/>
        </w:rPr>
        <w:t xml:space="preserve">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del demandado y hacer lugar a la apelación de la actora. En su mérito confirmar la sentencia en cuanto hace lugar a la fijación de cuota alimentaria  que el SR. NESTOR EMILIO SANTOS DNI 27.379.908 debe abonar mensualmente a la Sra. MARIA FLORENCIA MENDIBURU DNI 29.343.855 en favor de su hija menor C. DNI 46.628.633, en la suma de SEIS MIL PESOS ($ 6.000) con más el pago de la cuota y matrícula del colegio privado al que concurre la joven en la actualidad y el pago de la prepaga OSAM, modificándola únicamente en cuanto se incorpora a  los mencionados rubros el pago del Club al que concurre la menor y que estará a cargo del progenitor.</w:t>
      </w:r>
    </w:p>
    <w:p>
      <w:pPr>
        <w:pStyle w:val="[Normal]"/>
        <w:spacing w:line="480" w:lineRule="auto"/>
        <w:ind w:firstLine="1134"/>
        <w:jc w:val="both"/>
        <w:rPr>
          <w:lang w:val="es-AR" w:eastAsia="es-AR" w:bidi="es-AR"/>
        </w:rPr>
      </w:pPr>
      <w:r>
        <w:rPr>
          <w:lang w:val="es-AR" w:eastAsia="es-AR" w:bidi="es-AR"/>
        </w:rPr>
        <w:t xml:space="preserve">Con costas al demandado (arts. 68 CPCC).</w:t>
      </w:r>
    </w:p>
    <w:p>
      <w:pPr>
        <w:pStyle w:val="[Normal]"/>
        <w:spacing w:line="480" w:lineRule="auto"/>
        <w:ind w:firstLine="1134"/>
        <w:jc w:val="both"/>
        <w:rPr>
          <w:lang w:val="es-AR" w:eastAsia="es-AR" w:bidi="es-AR"/>
        </w:rPr>
      </w:pPr>
      <w:r>
        <w:rPr>
          <w:lang w:val="es-AR" w:eastAsia="es-AR" w:bidi="es-AR"/>
        </w:rPr>
        <w:t xml:space="preserve">Dejar sin efecto los honorarios establecidos en la sentencia apelada y disponer que se difiera su regulación hasta que obre liquidación firme para determinar la base respectiva (art. 39 y 51 del Decreto Ley 8904).</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w:t>
      </w:r>
      <w:r>
        <w:rPr>
          <w:color w:val="000000"/>
          <w:lang w:val="es-AR" w:eastAsia="es-AR" w:bidi="es-AR"/>
        </w:rPr>
        <w:t xml:space="preserve"> Graciela SCARAFFIA</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Rechazar el recurso interpuesto por el demandado y hacer lugar parcialmente a la apelación de la actora. En su mérito confirmar la sentencia en cuanto hace lugar a la fijación de cuota alimentaria que el SR. NESTOR EMILIO SANTOS DNI 27.379.908 debe abonar mensualmente a la Sra. MARIA FLORENCIA MENDIBURU DNI 29.343.855 en favor de su hija menor C. DNI 46.628.633, en la suma de SEIS MIL PESOS ($ 6.000) con más el pago de la cuota y matrícula del colegio privado al que concurre la joven en la actualidad y el pago de la prepaga OSAM, modificándola únicamente en cuanto se incorpora a  los mencionados rubros el pago del Club al que concurre la menor y que estará a cargo del progenitor.</w:t>
      </w:r>
    </w:p>
    <w:p>
      <w:pPr>
        <w:pStyle w:val="[Normal]"/>
        <w:spacing w:line="480" w:lineRule="auto"/>
        <w:ind w:firstLine="1134"/>
        <w:jc w:val="both"/>
        <w:rPr>
          <w:lang w:val="es-AR" w:eastAsia="es-AR" w:bidi="es-AR"/>
        </w:rPr>
      </w:pPr>
      <w:r>
        <w:rPr>
          <w:lang w:val="es-AR" w:eastAsia="es-AR" w:bidi="es-AR"/>
        </w:rPr>
        <w:t xml:space="preserve">Con costas al demandado (arts. 68 CPCC).</w:t>
      </w:r>
    </w:p>
    <w:p>
      <w:pPr>
        <w:pStyle w:val="[Normal]"/>
        <w:spacing w:line="480" w:lineRule="auto"/>
        <w:ind w:firstLine="1134"/>
        <w:jc w:val="both"/>
        <w:rPr>
          <w:lang w:val="es-AR" w:eastAsia="es-AR" w:bidi="es-AR"/>
        </w:rPr>
      </w:pPr>
      <w:r>
        <w:rPr>
          <w:lang w:val="es-AR" w:eastAsia="es-AR" w:bidi="es-AR"/>
        </w:rPr>
        <w:t xml:space="preserve">Dejar sin efecto los honorarios establecidos en la sentencia apelada y disponer que se difiera su regulación hasta que obre liquidación firme para determinar la base respectiva (art. 39 y 51 Decreto Ley 8904).</w:t>
      </w:r>
    </w:p>
    <w:p>
      <w:pPr>
        <w:pStyle w:val="[Normal]"/>
        <w:spacing w:line="480" w:lineRule="auto"/>
        <w:ind w:firstLine="1134"/>
        <w:jc w:val="both"/>
        <w:rPr>
          <w:lang w:val="es-AR" w:eastAsia="es-AR" w:bidi="es-AR"/>
        </w:rPr>
      </w:pPr>
      <w:r>
        <w:rPr>
          <w:lang w:val="es-AR" w:eastAsia="es-AR" w:bidi="es-AR"/>
        </w:rPr>
        <w:t xml:space="preserve">Regístrese. Notífiquese. Devuélvase.-</w:t>
      </w:r>
    </w:p>
    <w:p>
      <w:pPr>
        <w:pStyle w:val="[Normal]"/>
        <w:spacing w:line="480" w:lineRule="auto"/>
        <w:ind w:firstLine="1134"/>
        <w:jc w:val="both"/>
        <w:rPr>
          <w:lang w:val="es-AR" w:eastAsia="es-AR" w:bidi="es-AR"/>
        </w:rPr>
      </w:pPr>
    </w:p>
    <w:p>
      <w:pPr>
        <w:pStyle w:val="[Normal]"/>
        <w:ind w:firstLine="1134"/>
        <w:jc w:val="center"/>
        <w:rPr>
          <w:b/>
          <w:lang w:val="es-AR" w:eastAsia="es-AR" w:bidi="es-AR"/>
        </w:rPr>
      </w:pPr>
      <w:r>
        <w:rPr>
          <w:lang w:val="es-AR" w:eastAsia="es-AR" w:bidi="es-AR"/>
        </w:rPr>
        <w:t xml:space="preserve">			</w:t>
      </w:r>
      <w:r>
        <w:rPr>
          <w:b/>
          <w:lang w:val="es-AR" w:eastAsia="es-AR" w:bidi="es-AR"/>
        </w:rPr>
        <w:t xml:space="preserve">Roberto Manuel DEGLEUE</w:t>
      </w:r>
    </w:p>
    <w:p>
      <w:pPr>
        <w:pStyle w:val="[Normal]"/>
        <w:ind w:firstLine="1134"/>
        <w:jc w:val="center"/>
        <w:rPr>
          <w:b/>
          <w:lang w:val="es-AR" w:eastAsia="es-AR" w:bidi="es-AR"/>
        </w:rPr>
      </w:pPr>
      <w:r>
        <w:rPr>
          <w:b/>
          <w:lang w:val="es-AR" w:eastAsia="es-AR" w:bidi="es-AR"/>
        </w:rPr>
        <w:t xml:space="preserve">		               Presidente Excma. Cámara de</w:t>
      </w:r>
    </w:p>
    <w:p>
      <w:pPr>
        <w:pStyle w:val="[Normal]"/>
        <w:ind w:firstLine="1134"/>
        <w:jc w:val="center"/>
        <w:rPr>
          <w:b/>
          <w:lang w:val="es-AR" w:eastAsia="es-AR" w:bidi="es-AR"/>
        </w:rPr>
      </w:pPr>
      <w:r>
        <w:rPr>
          <w:b/>
          <w:lang w:val="es-AR" w:eastAsia="es-AR" w:bidi="es-AR"/>
        </w:rPr>
        <w:t xml:space="preserve">		             Apelación en lo Civil y Comercial </w:t>
      </w:r>
    </w:p>
    <w:p>
      <w:pPr>
        <w:pStyle w:val="[Normal]"/>
        <w:ind w:firstLine="1134"/>
        <w:jc w:val="center"/>
        <w:rPr>
          <w:b/>
          <w:lang w:val="es-AR" w:eastAsia="es-AR" w:bidi="es-AR"/>
        </w:rPr>
      </w:pPr>
      <w:r>
        <w:rPr>
          <w:b/>
          <w:lang w:val="es-AR" w:eastAsia="es-AR" w:bidi="es-AR"/>
        </w:rPr>
        <w:t xml:space="preserve">			Dpto. Judicial Pergamino</w:t>
      </w:r>
    </w:p>
    <w:p>
      <w:pPr>
        <w:pStyle w:val="[Normal]"/>
        <w:ind w:firstLine="1134"/>
        <w:jc w:val="center"/>
        <w:rPr>
          <w:b/>
          <w:lang w:val="es-AR" w:eastAsia="es-AR" w:bidi="es-AR"/>
        </w:rPr>
      </w:pPr>
    </w:p>
    <w:p>
      <w:pPr>
        <w:pStyle w:val="[Normal]"/>
        <w:ind w:firstLine="1134"/>
        <w:jc w:val="center"/>
        <w:rPr>
          <w:b/>
          <w:lang w:val="es-AR" w:eastAsia="es-AR" w:bidi="es-AR"/>
        </w:rPr>
      </w:pPr>
    </w:p>
    <w:p>
      <w:pPr>
        <w:pStyle w:val="[Normal]"/>
        <w:ind w:firstLine="1134"/>
        <w:rPr>
          <w:b/>
          <w:lang w:val="es-AR" w:eastAsia="es-AR" w:bidi="es-AR"/>
        </w:rPr>
      </w:pPr>
      <w:r>
        <w:rPr>
          <w:b/>
          <w:lang w:val="es-AR" w:eastAsia="es-AR" w:bidi="es-AR"/>
        </w:rPr>
        <w:t xml:space="preserve">Graciela SCARAFFIA  </w:t>
      </w:r>
    </w:p>
    <w:p>
      <w:pPr>
        <w:pStyle w:val="[Normal]"/>
        <w:ind w:firstLine="1134"/>
        <w:rPr>
          <w:b/>
          <w:lang w:val="es-AR" w:eastAsia="es-AR" w:bidi="es-AR"/>
        </w:rPr>
      </w:pPr>
      <w:r>
        <w:rPr>
          <w:b/>
          <w:lang w:val="es-AR" w:eastAsia="es-AR" w:bidi="es-AR"/>
        </w:rPr>
        <w:t xml:space="preserve">          Jueza </w:t>
      </w:r>
    </w:p>
    <w:p>
      <w:pPr>
        <w:pStyle w:val="[Normal]"/>
        <w:ind w:firstLine="1134"/>
        <w:rPr>
          <w:b/>
          <w:lang w:val="es-AR" w:eastAsia="es-AR" w:bidi="es-AR"/>
        </w:rPr>
      </w:pPr>
    </w:p>
    <w:p>
      <w:pPr>
        <w:pStyle w:val="[Normal]"/>
        <w:ind w:firstLine="1134"/>
        <w:rPr>
          <w:b/>
          <w:lang w:val="es-AR" w:eastAsia="es-AR" w:bidi="es-AR"/>
        </w:rPr>
      </w:pPr>
    </w:p>
    <w:p>
      <w:pPr>
        <w:pStyle w:val="[Normal]"/>
        <w:ind w:firstLine="1134"/>
        <w:rPr>
          <w:b/>
          <w:lang w:val="es-AR" w:eastAsia="es-AR" w:bidi="es-AR"/>
        </w:rPr>
      </w:pPr>
    </w:p>
    <w:p>
      <w:pPr>
        <w:pStyle w:val="[Normal]"/>
        <w:ind w:firstLine="1134"/>
        <w:rPr>
          <w:b/>
          <w:lang w:val="es-AR" w:eastAsia="es-AR" w:bidi="es-AR"/>
        </w:rPr>
      </w:pPr>
      <w:r>
        <w:rPr>
          <w:b/>
          <w:lang w:val="es-AR" w:eastAsia="es-AR" w:bidi="es-AR"/>
        </w:rPr>
        <w:t xml:space="preserve">			María Magdalena Elustondo</w:t>
      </w:r>
    </w:p>
    <w:p>
      <w:pPr>
        <w:pStyle w:val="[Normal]"/>
        <w:rPr>
          <w:b/>
          <w:lang w:val="es-AR" w:eastAsia="es-AR" w:bidi="es-AR"/>
        </w:rPr>
      </w:pPr>
      <w:r>
        <w:rPr>
          <w:b/>
          <w:lang w:val="es-AR" w:eastAsia="es-AR" w:bidi="es-AR"/>
        </w:rPr>
        <w:t xml:space="preserve">				Auxiliar letrada </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