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59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 374/379</w:t>
      </w:r>
      <w:r>
        <w:rPr>
          <w:lang w:val="es-AR" w:eastAsia="es-AR" w:bidi="es-AR"/>
        </w:rPr>
        <w:t xml:space="preserve">             </w:t>
      </w:r>
    </w:p>
    <w:p>
      <w:pPr>
        <w:pStyle w:val="[Normal]"/>
        <w:spacing w:line="360" w:lineRule="auto"/>
        <w:jc w:val="both"/>
        <w:rPr>
          <w:lang w:val="es-AR" w:eastAsia="es-AR" w:bidi="es-AR"/>
        </w:rPr>
      </w:pPr>
    </w:p>
    <w:p>
      <w:pPr>
        <w:pStyle w:val="[Normal]"/>
        <w:spacing w:line="480" w:lineRule="auto"/>
        <w:ind w:firstLine="1134"/>
        <w:jc w:val="both"/>
        <w:rPr>
          <w:color w:val="000000"/>
          <w:lang w:val="es-AR" w:eastAsia="es-AR" w:bidi="es-AR"/>
        </w:rPr>
      </w:pPr>
      <w:r>
        <w:rPr>
          <w:lang w:val="es-AR" w:eastAsia="es-AR" w:bidi="es-AR"/>
        </w:rPr>
        <w:t xml:space="preserve">En la ciudad de Pergamino, el  14   de Mayo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3359-18</w:t>
      </w:r>
      <w:r>
        <w:rPr>
          <w:lang w:val="es-AR" w:eastAsia="es-AR" w:bidi="es-AR"/>
        </w:rPr>
        <w:t xml:space="preserve"> caratulada </w:t>
      </w:r>
      <w:r>
        <w:rPr>
          <w:b/>
          <w:lang w:val="es-AR" w:eastAsia="es-AR" w:bidi="es-AR"/>
        </w:rPr>
        <w:t xml:space="preserve">"</w:t>
      </w:r>
      <w:r>
        <w:rPr>
          <w:b/>
          <w:color w:val="000000"/>
          <w:lang w:val="es-AR" w:eastAsia="es-AR" w:bidi="es-AR"/>
        </w:rPr>
        <w:t xml:space="preserve">MORENO ALBERTO OSCAR C/ SILVA CARLOS ENRIQUE Y OTRO/A S/ RESCISION DE CONTRATOS CIVILES/COMERCIALES</w:t>
      </w:r>
      <w:r>
        <w:rPr>
          <w:b/>
          <w:lang w:val="es-AR" w:eastAsia="es-AR" w:bidi="es-AR"/>
        </w:rPr>
        <w:t xml:space="preserve">"</w:t>
      </w:r>
      <w:r>
        <w:rPr>
          <w:lang w:val="es-AR" w:eastAsia="es-AR" w:bidi="es-AR"/>
        </w:rPr>
        <w:t xml:space="preserve">, Expte. N° 58.871 del Juzgado en lo Civil y Comercial N° 1, encontrándose excusado el Dr. Roberto Manuel Degleue a fs. 90, se practicó el sorteo de ley que determinó que la votación debía efectuarse en el siguiente orden: Graciela Scaraffía y Bernardo Louise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r>
        <w:rPr>
          <w:b/>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color w:val="000000"/>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 Graciela Scaraffía dijo:</w:t>
      </w:r>
    </w:p>
    <w:p>
      <w:pPr>
        <w:pStyle w:val="[Normal]"/>
        <w:spacing w:line="480" w:lineRule="auto"/>
        <w:ind w:firstLine="1134"/>
        <w:jc w:val="both"/>
        <w:rPr>
          <w:color w:val="000000"/>
          <w:lang w:val="es-AR" w:eastAsia="es-AR" w:bidi="es-AR"/>
        </w:rPr>
      </w:pPr>
      <w:r>
        <w:rPr>
          <w:color w:val="000000"/>
          <w:lang w:val="es-AR" w:eastAsia="es-AR" w:bidi="es-AR"/>
        </w:rPr>
        <w:t xml:space="preserve">Que corresponde en primer término que el Tribunal se aboque al tratamiento del planteo de nulidad efectuado por la parte demandada en el memorial de fs. 80/85.	</w:t>
        <w:br w:type="textWrapping"/>
      </w:r>
      <w:r>
        <w:rPr>
          <w:color w:val="000000"/>
          <w:lang w:val="es-AR" w:eastAsia="es-AR" w:bidi="es-AR"/>
        </w:rPr>
        <w:t xml:space="preserve"> 	Toda vez que el recurso de nulidad está comprendido en el de apelación, he de encuadrar la impugnación efectuada en este punto como un agravio constitutivo de la resolución recurrida (art. 253 del CPCCBA).</w:t>
      </w:r>
    </w:p>
    <w:p>
      <w:pPr>
        <w:pStyle w:val="[Normal]"/>
        <w:spacing w:line="480" w:lineRule="auto"/>
        <w:ind w:firstLine="1134"/>
        <w:jc w:val="both"/>
        <w:rPr>
          <w:color w:val="000000"/>
          <w:lang w:val="es-AR" w:eastAsia="es-AR" w:bidi="es-AR"/>
        </w:rPr>
      </w:pPr>
      <w:r>
        <w:rPr>
          <w:color w:val="000000"/>
          <w:lang w:val="es-AR" w:eastAsia="es-AR" w:bidi="es-AR"/>
        </w:rPr>
        <w:t xml:space="preserve">Que en el escrito de referencia, el apelante solicitó la nulidad del proceso desde el dictado la sentencia de la Exma. Cámara de Apelaciones departamental con fundamento en que Dr. Degleue intervino en los autos caratulados</w:t>
      </w:r>
      <w:r>
        <w:rPr>
          <w:i/>
          <w:color w:val="000000"/>
          <w:lang w:val="es-AR" w:eastAsia="es-AR" w:bidi="es-AR"/>
        </w:rPr>
        <w:t xml:space="preserve"> "Moreno, Alberto c/ Silva, Carlos y otra s/ Cumplimiento de contrato"</w:t>
      </w:r>
      <w:r>
        <w:rPr>
          <w:color w:val="000000"/>
          <w:lang w:val="es-AR" w:eastAsia="es-AR" w:bidi="es-AR"/>
        </w:rPr>
        <w:t xml:space="preserve">, expte. 48.820, en trámite en el Juzgado de Primera Instancia en lo Civil y Comercial n° 1 del Departamento Judicial de Pergamino dictando sentencia definitiva cuando se desempeñaba como Juez de Primera Instancia en dicho organismo y excusándose luego en las etapas de ejecución de sentencia por hallarse comprendido en las previsiones del art. 17 inc. 7 del C.P.C.C.</w:t>
      </w:r>
    </w:p>
    <w:p>
      <w:pPr>
        <w:pStyle w:val="[Normal]"/>
        <w:spacing w:line="480" w:lineRule="auto"/>
        <w:ind w:firstLine="1134"/>
        <w:jc w:val="both"/>
        <w:rPr>
          <w:color w:val="000000"/>
          <w:lang w:val="es-AR" w:eastAsia="es-AR" w:bidi="es-AR"/>
        </w:rPr>
      </w:pPr>
      <w:r>
        <w:rPr>
          <w:color w:val="000000"/>
          <w:lang w:val="es-AR" w:eastAsia="es-AR" w:bidi="es-AR"/>
        </w:rPr>
        <w:t xml:space="preserve">Entrando a resolver la cuestión planteada, entiendo que la crítica vertida por el apelante no puede prosperar.</w:t>
      </w:r>
    </w:p>
    <w:p>
      <w:pPr>
        <w:pStyle w:val="[Normal]"/>
        <w:spacing w:line="480" w:lineRule="auto"/>
        <w:ind w:firstLine="1134"/>
        <w:jc w:val="both"/>
        <w:rPr>
          <w:color w:val="000000"/>
          <w:lang w:val="es-AR" w:eastAsia="es-AR" w:bidi="es-AR"/>
        </w:rPr>
      </w:pPr>
      <w:r>
        <w:rPr>
          <w:color w:val="000000"/>
          <w:lang w:val="es-AR" w:eastAsia="es-AR" w:bidi="es-AR"/>
        </w:rPr>
        <w:t xml:space="preserve">En primer término, he de precisar que el planteo de nulidad por defecto de sentencia es comprensivo únicamente de graves irregularidades que impiden conocer el recurso concedido (SCBA, 3/5/95, DJBA, 149-4112). En este aspecto, la nulidad de la sentencia procede únicamente por vicios extrínsecos; verbigracia, cuando ha sido pronunciada sin sujeción a los requisitos de tiempo, lugar y forma previstos por la ley en tanto que los vicios sean graves e irreparables. Por vía residual, aquellas falencias que no descalifican a la sentencia como acto jurisdiccional deben ser excluidas del radio de cobertura del mentado recurso.</w:t>
      </w:r>
    </w:p>
    <w:p>
      <w:pPr>
        <w:pStyle w:val="[Normal]"/>
        <w:spacing w:line="480" w:lineRule="auto"/>
        <w:ind w:firstLine="1134"/>
        <w:jc w:val="both"/>
        <w:rPr>
          <w:color w:val="000000"/>
          <w:lang w:val="es-AR" w:eastAsia="es-AR" w:bidi="es-AR"/>
        </w:rPr>
      </w:pPr>
      <w:r>
        <w:rPr>
          <w:color w:val="000000"/>
          <w:lang w:val="es-AR" w:eastAsia="es-AR" w:bidi="es-AR"/>
        </w:rPr>
        <w:t xml:space="preserve">Es que, conforme al principio de validez del acto jurisdiccional, se impone una interpretación restrictiva del planteo de nulidad. En consecuencia, la validez del acto debe ser preferida, antes que la disvaliosa anulación (MORELLO, Augusto, SOSA, Gualberto, BERIZONCE, Roberto, Código Procesal en lo Civil y Comercial de la Provincia de Buenos Aires, Buenos Aires, Ed. Abeledo Perrot, 1988, pag. 239).	</w:t>
        <w:br w:type="textWrapping"/>
      </w:r>
      <w:r>
        <w:rPr>
          <w:color w:val="000000"/>
          <w:lang w:val="es-AR" w:eastAsia="es-AR" w:bidi="es-AR"/>
        </w:rPr>
        <w:t xml:space="preserve"> 	En este sentido, la afectación de la garantía de imparcialidad, como aspecto nodal de la nulidad pretendida por el recurrente, no se presenta en autos como un vicio puramente extrínseco, sino que exige indagar en el contenido interno de las resoluciones atacadas a los efectos de determinar si el alcance de la intervención del magistrado en cuestión en el proceso conexo pudo o no poner en jaque la necesaria imparcialidad a la que debe ceñirse la actuación el juez interviniente en la presente causa.	</w:t>
        <w:br w:type="textWrapping"/>
      </w:r>
      <w:r>
        <w:rPr>
          <w:color w:val="000000"/>
          <w:lang w:val="es-AR" w:eastAsia="es-AR" w:bidi="es-AR"/>
        </w:rPr>
        <w:t xml:space="preserve"> 	Es precisamente aquí que advierto que el planteo efectuado por el apelante excede los límites del recurso de nulidad previsto en el art. 253 del CPCCBA. En sustento de la tesis expuesta, la Sala III de la Cámara de Apelaciones de La Plata ha resuelto que: </w:t>
      </w:r>
      <w:r>
        <w:rPr>
          <w:i/>
          <w:color w:val="000000"/>
          <w:lang w:val="es-AR" w:eastAsia="es-AR" w:bidi="es-AR"/>
        </w:rPr>
        <w:t xml:space="preserve">"... son los vicios extrínsecos de la sentencia los que acarrean la nulidad a que se refiere el artículo 253 del ordenamiento procesal..."</w:t>
      </w:r>
      <w:r>
        <w:rPr>
          <w:color w:val="000000"/>
          <w:lang w:val="es-AR" w:eastAsia="es-AR" w:bidi="es-AR"/>
        </w:rPr>
        <w:t xml:space="preserve"> (Cámara de Apelaciones de La Plata, Sala III, Juris. Arg. 197, v. II, pag. 258).</w:t>
      </w:r>
    </w:p>
    <w:p>
      <w:pPr>
        <w:pStyle w:val="[Normal]"/>
        <w:spacing w:line="480" w:lineRule="auto"/>
        <w:ind w:firstLine="1134"/>
        <w:jc w:val="both"/>
        <w:rPr>
          <w:color w:val="000000"/>
          <w:lang w:val="es-AR" w:eastAsia="es-AR" w:bidi="es-AR"/>
        </w:rPr>
      </w:pPr>
      <w:r>
        <w:rPr>
          <w:color w:val="000000"/>
          <w:lang w:val="es-AR" w:eastAsia="es-AR" w:bidi="es-AR"/>
        </w:rPr>
        <w:t xml:space="preserve">Obiter dictum, cabe señalar que en su voto el Dr. Degleue se ha expedido exclusivamente sobre la admisibilidad de la acción -y no sobre su procedencia sustancial- y ha sido únicamente a tales efectos que se ha hecho alusión a la causa n° 48.820, evocándose incluso una resolución (fs. 250/251) que no fuera dictada por el Juez excusado, sino por el Dr. Savignano como Juez Subrogante en la causa precitada. </w:t>
      </w:r>
    </w:p>
    <w:p>
      <w:pPr>
        <w:pStyle w:val="[Normal]"/>
        <w:spacing w:line="480" w:lineRule="auto"/>
        <w:ind w:firstLine="1134"/>
        <w:jc w:val="both"/>
        <w:rPr>
          <w:color w:val="000000"/>
          <w:lang w:val="es-AR" w:eastAsia="es-AR" w:bidi="es-AR"/>
        </w:rPr>
      </w:pPr>
      <w:r>
        <w:rPr>
          <w:lang w:val="es-AR" w:eastAsia="es-AR" w:bidi="es-AR"/>
        </w:rPr>
        <w:t xml:space="preserve">Ha sido éste el nivel de análisis dentro del cual se ha mantenido el voto del Dr. Degleue por lo que entiendo que la garantía de imparcialidad del nombrado no se ha visto afectada en el caso concreto, debiéndose en consecuencia confirmar la validez de lo hasta aquí actuado.</w:t>
      </w:r>
    </w:p>
    <w:p>
      <w:pPr>
        <w:pStyle w:val="[Normal]"/>
        <w:spacing w:line="480" w:lineRule="auto"/>
        <w:ind w:firstLine="1134"/>
        <w:jc w:val="both"/>
        <w:rPr>
          <w:lang w:val="es-AR" w:eastAsia="es-AR" w:bidi="es-AR"/>
        </w:rPr>
      </w:pPr>
      <w:r>
        <w:rPr>
          <w:lang w:val="es-AR" w:eastAsia="es-AR" w:bidi="es-AR"/>
        </w:rPr>
        <w:t xml:space="preserve">En relación al agravio en virtud del cual el apelante se queja de que el voto del Dr. Degleue importa prejuzgamiento por cuanto se expide no sólo sobre el defectuoso rechazo </w:t>
      </w:r>
      <w:r>
        <w:rPr>
          <w:i/>
          <w:lang w:val="es-AR" w:eastAsia="es-AR" w:bidi="es-AR"/>
        </w:rPr>
        <w:t xml:space="preserve">in límine</w:t>
      </w:r>
      <w:r>
        <w:rPr>
          <w:lang w:val="es-AR" w:eastAsia="es-AR" w:bidi="es-AR"/>
        </w:rPr>
        <w:t xml:space="preserve">, sino que además resuelve sobre la admisibilidad de la acción y de la demanda, </w:t>
      </w:r>
      <w:r>
        <w:rPr>
          <w:lang w:val="es-AR" w:eastAsia="es-AR" w:bidi="es-AR"/>
        </w:rPr>
        <w:t xml:space="preserve">he de señalar nuevamente que la sentencia dictada a fs. 38/45 no versa sobre la procedencia fondal de la acción de resolución contractual incoada por el actor, sino -como he puntualizado ut supra- sobre su admisibilidad formal.</w:t>
      </w:r>
    </w:p>
    <w:p>
      <w:pPr>
        <w:pStyle w:val="[Normal]"/>
        <w:spacing w:line="480" w:lineRule="auto"/>
        <w:ind w:firstLine="1134"/>
        <w:jc w:val="both"/>
        <w:rPr>
          <w:lang w:val="es-AR" w:eastAsia="es-AR" w:bidi="es-AR"/>
        </w:rPr>
      </w:pPr>
      <w:r>
        <w:rPr>
          <w:lang w:val="es-AR" w:eastAsia="es-AR" w:bidi="es-AR"/>
        </w:rPr>
        <w:t xml:space="preserve">Dicho de otro modo, el </w:t>
      </w:r>
      <w:r>
        <w:rPr>
          <w:i/>
          <w:lang w:val="es-AR" w:eastAsia="es-AR" w:bidi="es-AR"/>
        </w:rPr>
        <w:t xml:space="preserve">thema decidendum</w:t>
      </w:r>
      <w:r>
        <w:rPr>
          <w:lang w:val="es-AR" w:eastAsia="es-AR" w:bidi="es-AR"/>
        </w:rPr>
        <w:t xml:space="preserve"> de la misma no estribó en determinar si correspondía o no declarar la resolución del contrato celebrado entre las partes, sino más bien en decidir si era formalmente viable iniciar la pretensión resolutoria respecto al contrato de compraventa -que fuera objeto de los autos n° 48.820- en ejercicio del </w:t>
      </w:r>
      <w:r>
        <w:rPr>
          <w:i/>
          <w:lang w:val="es-AR" w:eastAsia="es-AR" w:bidi="es-AR"/>
        </w:rPr>
        <w:t xml:space="preserve">ius variandi</w:t>
      </w:r>
      <w:r>
        <w:rPr>
          <w:lang w:val="es-AR" w:eastAsia="es-AR" w:bidi="es-AR"/>
        </w:rPr>
        <w:t xml:space="preserve"> (art. 1204 del Código Civil). El pronunciamiento dictado en esta instancia se halla circunscripto dentro de los márgenes indicados, por lo que el acuse de prejuzgamiento del apelante carece de asidero lógico y jurídico.	</w:t>
      </w:r>
    </w:p>
    <w:p>
      <w:pPr>
        <w:pStyle w:val="[Normal]"/>
        <w:spacing w:line="480" w:lineRule="auto"/>
        <w:ind w:firstLine="1134"/>
        <w:jc w:val="both"/>
        <w:rPr>
          <w:color w:val="000000"/>
          <w:lang w:val="es-AR" w:eastAsia="es-AR" w:bidi="es-AR"/>
        </w:rPr>
      </w:pPr>
      <w:r>
        <w:rPr>
          <w:lang w:val="es-AR" w:eastAsia="es-AR" w:bidi="es-AR"/>
        </w:rPr>
        <w:t xml:space="preserve">En otro orden, y aún a riesgo de redundar, cabe remarcar que la resolución de grado a la que el Dr. Degleue hizo referencia en su voto -resolución de fs. 251 de la causa n° 48.820- fue dictada por el Dr. Savignano como Juez Subrogante y no por el nombrado camarista, por lo que tampoco puede postularse válidamente que haya habido lesión a la garantía de imparcialidad. 	</w:t>
        <w:br w:type="textWrapping"/>
      </w:r>
      <w:r>
        <w:rPr>
          <w:lang w:val="es-AR" w:eastAsia="es-AR" w:bidi="es-AR"/>
        </w:rPr>
        <w:t xml:space="preserve"> 	Asimismo, es dable puntualizar que los fundamentos de hecho y de derecho de la mencionada resolución que fueron citados en el pronunciamiento cuestionado no importaron rectificación de lo resuelto en aquel proceso como plantea el apelante, sino cabal respeto al principio de cosa juzgada, en el sentido de que la invocación de tales fundamentos en este proceso -en aquello que resultó pertinente para resolver sobre la admisibilidad formal de la acción- ha garantizado la concordancia objetiva entre el contenido declarativo de la resolución de fs. 251 de la causa n°48.820 y el contenido declarativo de la resolución de fs. 38/45 de este proceso.	</w:t>
        <w:br w:type="textWrapping"/>
      </w:r>
      <w:r>
        <w:rPr>
          <w:lang w:val="es-AR" w:eastAsia="es-AR" w:bidi="es-AR"/>
        </w:rPr>
        <w:t xml:space="preserve"> 	En punto al último agravio basado en la circunstancia de no haberse corrido el traslado pertinente a su parte del medio impugnativo que diera lugar a la sentencia dictada a fs. 38/45, </w:t>
      </w:r>
      <w:r>
        <w:rPr>
          <w:color w:val="000000"/>
          <w:lang w:val="es-AR" w:eastAsia="es-AR" w:bidi="es-AR"/>
        </w:rPr>
        <w:t xml:space="preserve">no puedo soslayar que el demandado presentó escrito de oposición de excepciones a fs. 60/67 evacuando el traslado que le fuera corrido a fs. 53 de la presente causa.</w:t>
      </w:r>
    </w:p>
    <w:p>
      <w:pPr>
        <w:pStyle w:val="[Normal]"/>
        <w:spacing w:line="480" w:lineRule="auto"/>
        <w:ind w:firstLine="1134"/>
        <w:jc w:val="both"/>
        <w:rPr>
          <w:lang w:val="es-AR" w:eastAsia="es-AR" w:bidi="es-AR"/>
        </w:rPr>
      </w:pPr>
      <w:r>
        <w:rPr>
          <w:color w:val="000000"/>
          <w:lang w:val="es-AR" w:eastAsia="es-AR" w:bidi="es-AR"/>
        </w:rPr>
        <w:t xml:space="preserve">Esta circunstancia no es intrascendente dado que, con prescindencia del anoticiamiento o no de la resolución de Cámara dictada a fs. 39/45, el escrito de oposición de excepciones está en sí mismo enderezado a discutir la procedencia de la pretensión procesal, lo que importa consentir tácitamente la admisibilidad de la acción como dimensión previa y habilitante al examen del fondo de la relación jurídica procesal controvertida.	</w:t>
        <w:br w:type="textWrapping"/>
      </w:r>
      <w:r>
        <w:rPr>
          <w:color w:val="000000"/>
          <w:lang w:val="es-AR" w:eastAsia="es-AR" w:bidi="es-AR"/>
        </w:rPr>
        <w:t xml:space="preserve"> 	</w:t>
      </w:r>
      <w:r>
        <w:rPr>
          <w:lang w:val="es-AR" w:eastAsia="es-AR" w:bidi="es-AR"/>
        </w:rPr>
        <w:t xml:space="preserve">En este aspecto no es ocioso recordar que la pretensión es admisible cuando posibilita la averiguación de su contenido y por tanto la emisión de un pronunciamiento sobre el fondo del asunto sometido a la decisión del órgano judicial (LINO, Enrique Palacio, Derecho Procesal Civil, Tomo I, Buenos Aires, Ed. Abeledo Perrot, 2011, pág. 295 y ss).</w:t>
      </w:r>
    </w:p>
    <w:p>
      <w:pPr>
        <w:pStyle w:val="[Normal]"/>
        <w:spacing w:line="480" w:lineRule="auto"/>
        <w:ind w:firstLine="1134"/>
        <w:jc w:val="both"/>
        <w:rPr>
          <w:color w:val="000000"/>
          <w:lang w:val="es-AR" w:eastAsia="es-AR" w:bidi="es-AR"/>
        </w:rPr>
      </w:pPr>
      <w:r>
        <w:rPr>
          <w:lang w:val="es-AR" w:eastAsia="es-AR" w:bidi="es-AR"/>
        </w:rPr>
        <w:t xml:space="preserve">Como consecuencia lógica de lo expuesto constituye una regla procesal básica que el examen de los requisitos de admisibilidad debe ser  previo al examen de la fundabilidad, y que un pronunciamiento negativo de la existencia de los primeros excluye </w:t>
      </w:r>
      <w:r>
        <w:rPr>
          <w:i/>
          <w:lang w:val="es-AR" w:eastAsia="es-AR" w:bidi="es-AR"/>
        </w:rPr>
        <w:t xml:space="preserve">sine die</w:t>
      </w:r>
      <w:r>
        <w:rPr>
          <w:lang w:val="es-AR" w:eastAsia="es-AR" w:bidi="es-AR"/>
        </w:rPr>
        <w:t xml:space="preserve"> la necesidad de dictar una sentencia negativa sobre el mérito de la pretensión.	</w:t>
      </w:r>
      <w:r>
        <w:rPr>
          <w:color w:val="000000"/>
          <w:lang w:val="es-AR" w:eastAsia="es-AR" w:bidi="es-AR"/>
        </w:rPr>
        <w:br w:type="textWrapping"/>
      </w:r>
      <w:r>
        <w:rPr>
          <w:color w:val="000000"/>
          <w:lang w:val="es-AR" w:eastAsia="es-AR" w:bidi="es-AR"/>
        </w:rPr>
        <w:t xml:space="preserve"> 	Del mismo modo, la presentación de un escrito dirigido a oponerse al progreso sustancial de la pretensión procesal en forma directa -y no subsidiaria- importa consentir tácitamente la admisibilidad de la acción judicial, máxime cuando en el mismo el demandado no ha efectuado reserva alguna respecto a la posibilidad de cuestionar ulteriormente este aspecto primario del proceso, ni tampoco ha recurrido con anterioridad la providencia del Juez de la Instancia de Origen que ordena sin más correr traslado a los demandados en los términos del art. 320.</w:t>
      </w:r>
    </w:p>
    <w:p>
      <w:pPr>
        <w:pStyle w:val="[Normal]"/>
        <w:spacing w:line="480" w:lineRule="auto"/>
        <w:ind w:firstLine="1134"/>
        <w:jc w:val="both"/>
        <w:rPr>
          <w:color w:val="000000"/>
          <w:lang w:val="es-AR" w:eastAsia="es-AR" w:bidi="es-AR"/>
        </w:rPr>
      </w:pPr>
      <w:r>
        <w:rPr>
          <w:color w:val="000000"/>
          <w:lang w:val="es-AR" w:eastAsia="es-AR" w:bidi="es-AR"/>
        </w:rPr>
        <w:t xml:space="preserve">En este sentido, el art. 170 del CPCCBA establece expresamente que: </w:t>
      </w:r>
      <w:r>
        <w:rPr>
          <w:i/>
          <w:color w:val="000000"/>
          <w:lang w:val="es-AR" w:eastAsia="es-AR" w:bidi="es-AR"/>
        </w:rPr>
        <w:t xml:space="preserve">"La nulidad no podrá ser declarada cuando el acto haya sido consentido aunque fuere tácitamente, por la parte interesada en la declaración".</w:t>
      </w:r>
    </w:p>
    <w:p>
      <w:pPr>
        <w:pStyle w:val="[Normal]"/>
        <w:spacing w:line="480" w:lineRule="auto"/>
        <w:ind w:firstLine="1134"/>
        <w:jc w:val="both"/>
        <w:rPr>
          <w:color w:val="000000"/>
          <w:lang w:val="es-AR" w:eastAsia="es-AR" w:bidi="es-AR"/>
        </w:rPr>
      </w:pPr>
      <w:r>
        <w:rPr>
          <w:color w:val="000000"/>
          <w:lang w:val="es-AR" w:eastAsia="es-AR" w:bidi="es-AR"/>
        </w:rPr>
        <w:t xml:space="preserve">En consonancia con lo expuesto, la jurisprudencia de los tribunales provinciales se ha expedido en los siguientes términos: "</w:t>
      </w:r>
      <w:r>
        <w:rPr>
          <w:i/>
          <w:color w:val="000000"/>
          <w:lang w:val="es-AR" w:eastAsia="es-AR" w:bidi="es-AR"/>
        </w:rPr>
        <w:t xml:space="preserve">Las nulidades de procedimiento son relativas, es decir convalidables por el consentimiento expreso o tácito de los interesados y de interpretación restrictiva, reservándose la sanción como "última razón frente a la existencia de una efectiva indefensión"</w:t>
      </w:r>
      <w:r>
        <w:rPr>
          <w:color w:val="000000"/>
          <w:lang w:val="es-AR" w:eastAsia="es-AR" w:bidi="es-AR"/>
        </w:rPr>
        <w:t xml:space="preserve"> (CC0002 LM 687 RSI-167-5 I 22/11/2005 Juez IGLESIAS BERRONDO (SD) Carátula: Fisco de la Provincia de Buenos Aires c/Szyber Raquel Zulema s/Apremio, Magistrados Votantes: Rodríguez-Iglesias Berrondo, Tribunal Origen: JC0100LM). </w:t>
      </w:r>
    </w:p>
    <w:p>
      <w:pPr>
        <w:pStyle w:val="[Normal]"/>
        <w:spacing w:line="480" w:lineRule="auto"/>
        <w:ind w:firstLine="1134"/>
        <w:jc w:val="both"/>
        <w:rPr>
          <w:color w:val="000000"/>
          <w:lang w:val="es-AR" w:eastAsia="es-AR" w:bidi="es-AR"/>
        </w:rPr>
      </w:pPr>
      <w:r>
        <w:rPr>
          <w:color w:val="000000"/>
          <w:lang w:val="es-AR" w:eastAsia="es-AR" w:bidi="es-AR"/>
        </w:rPr>
        <w:t xml:space="preserve">Finalmente, cabe identificar un tercer agravio que aunque no fuera conceptualizado en el orden referido por el apelante, asume independencia lógica y jurídica en el caso concreto, cuál es el rechazo de la excepción de cosa juzgada.</w:t>
      </w:r>
    </w:p>
    <w:p>
      <w:pPr>
        <w:pStyle w:val="[Normal]"/>
        <w:spacing w:line="480" w:lineRule="auto"/>
        <w:ind w:firstLine="1134"/>
        <w:jc w:val="both"/>
        <w:rPr>
          <w:color w:val="000000"/>
          <w:lang w:val="es-AR" w:eastAsia="es-AR" w:bidi="es-AR"/>
        </w:rPr>
      </w:pPr>
      <w:r>
        <w:rPr>
          <w:color w:val="000000"/>
          <w:lang w:val="es-AR" w:eastAsia="es-AR" w:bidi="es-AR"/>
        </w:rPr>
        <w:t xml:space="preserve">En concordancia con los fundamentos precitados, entiendo que corresponde confirmar el rechazo de la excepción mencionada por cuanto, al margen de lo dicho por el aquo, el objeto de lo pretendido en los aludidos procesos judiciales no resulta idéntico, sino que persigue la concreción de dos pretensiones sustancialmente diferentes. 	</w:t>
        <w:br w:type="textWrapping"/>
      </w:r>
      <w:r>
        <w:rPr>
          <w:color w:val="000000"/>
          <w:lang w:val="es-AR" w:eastAsia="es-AR" w:bidi="es-AR"/>
        </w:rPr>
        <w:t xml:space="preserve"> 	Sin perjuicio de la identidad existente en los sujetos procesales que integran la controversia (identidad subjetiva) como en la situación de hecho constitutiva de la litis (identidad causal), el objeto procesal que incardina ambas acciones resulta objetivamente diferente en sendos procesos judiciales (ausencia de identidad objetiva). En tanto el primero apunta a obtener el cumplimiento de la obligación de escriturar derivada del contrato de compraventa, el segundo persigue un objeto procesal claramente contrario consistente en la resolución de la relación contractual afectada por el incumplimiento.</w:t>
      </w:r>
    </w:p>
    <w:p>
      <w:pPr>
        <w:pStyle w:val="[Normal]"/>
        <w:spacing w:line="480" w:lineRule="auto"/>
        <w:ind w:firstLine="1134"/>
        <w:jc w:val="both"/>
        <w:rPr>
          <w:color w:val="000000"/>
          <w:lang w:val="es-AR" w:eastAsia="es-AR" w:bidi="es-AR"/>
        </w:rPr>
      </w:pPr>
      <w:r>
        <w:rPr>
          <w:color w:val="000000"/>
          <w:lang w:val="es-AR" w:eastAsia="es-AR" w:bidi="es-AR"/>
        </w:rPr>
        <w:t xml:space="preserve">Este criterio resolutivo se robustece no bien se advierte que es la propia ley la que prevé expresamente la posibilidad de variar el objeto de la pretensión de cumplimiento por la de resolución contractual, sin que merezca tal cuestión un tratamiento fondal diferenciado según se haya ejercido esta facultad dentro del proceso judicial originario o mediante la iniciación de un nuevo juicio, pues ello concierne a la vía procesal elegida y no al objeto de la pretensión procesal.	</w:t>
        <w:br w:type="textWrapping"/>
      </w:r>
      <w:r>
        <w:rPr>
          <w:color w:val="000000"/>
          <w:lang w:val="es-AR" w:eastAsia="es-AR" w:bidi="es-AR"/>
        </w:rPr>
        <w:t xml:space="preserve"> 	En efecto, </w:t>
      </w:r>
      <w:r>
        <w:rPr>
          <w:rFonts w:ascii="arial" w:hAnsi="arial" w:eastAsia="arial" w:cs="arial"/>
          <w:lang w:val="es-AR" w:eastAsia="es-AR" w:bidi="es-AR"/>
        </w:rPr>
        <w:t xml:space="preserve">el art. 1204, cuarto párrafo, del Código Civil establece que: </w:t>
      </w:r>
      <w:r>
        <w:rPr>
          <w:rFonts w:ascii="arial" w:hAnsi="arial" w:eastAsia="arial" w:cs="arial"/>
          <w:i/>
          <w:lang w:val="es-AR" w:eastAsia="es-AR" w:bidi="es-AR"/>
        </w:rPr>
        <w:t xml:space="preserve">"(...) La parte que haya cumplido podrá optar por exigir a la incumplidora la ejecución de sus obligaciones con daños y perjuicios. La resolución podrá pedirse aunque se hubiese demandado el cumplimiento del contrato; pero no podrá solicitarse el cumplimiento cuando se hubiese demandado por resolución"</w:t>
      </w:r>
      <w:r>
        <w:rPr>
          <w:rFonts w:ascii="arial" w:hAnsi="arial" w:eastAsia="arial" w:cs="arial"/>
          <w:lang w:val="es-AR" w:eastAsia="es-AR" w:bidi="es-AR"/>
        </w:rPr>
        <w:t xml:space="preserve">.	</w:t>
      </w:r>
    </w:p>
    <w:p>
      <w:pPr>
        <w:pStyle w:val="[Normal]"/>
        <w:spacing w:line="480" w:lineRule="auto"/>
        <w:ind w:firstLine="1134"/>
        <w:jc w:val="both"/>
        <w:rPr>
          <w:color w:val="000000"/>
          <w:lang w:val="es-AR" w:eastAsia="es-AR" w:bidi="es-AR"/>
        </w:rPr>
      </w:pPr>
      <w:r>
        <w:rPr>
          <w:color w:val="000000"/>
          <w:lang w:val="es-AR" w:eastAsia="es-AR" w:bidi="es-AR"/>
        </w:rPr>
        <w:t xml:space="preserve">En rigor resultaría un verdadero despropósito sostener que la conversión de la pretensión de cumplimiento en una pretensión de resolución importa una violación del principio de cosa juzgada, toda vez que en tal caso la disposición precitada quedaría reducida a letra muerta. Es que la posibilidad de que converjan los mismos sujetos y la misma causa en una y otra acción no es una mera contingencia o eventualidad procesal, sino una condición habilitante ineludible para el ejercicio de la facultad prevista en el art. 1204 C.C. Por lo que entiendo que la solución que propicio permite armonizar la coexistencia del principio de cosa juzgada y la regla que habilita al ejercicio del ius variandi.</w:t>
      </w:r>
    </w:p>
    <w:p>
      <w:pPr>
        <w:pStyle w:val="[Normal]"/>
        <w:spacing w:line="480" w:lineRule="auto"/>
        <w:ind w:firstLine="1134"/>
        <w:jc w:val="both"/>
        <w:rPr>
          <w:lang w:val="es-AR" w:eastAsia="es-AR" w:bidi="es-AR"/>
        </w:rPr>
      </w:pPr>
      <w:r>
        <w:rPr>
          <w:color w:val="000000"/>
          <w:lang w:val="es-AR" w:eastAsia="es-AR" w:bidi="es-AR"/>
        </w:rPr>
        <w:t xml:space="preserve">Es oportuno referir aquí que </w:t>
      </w:r>
      <w:r>
        <w:rPr>
          <w:lang w:val="es-AR" w:eastAsia="es-AR" w:bidi="es-AR"/>
        </w:rPr>
        <w:t xml:space="preserve">el argumento de coherencia presupone un legislador razonable. Este argumento reclama que las decisiones judiciales se adopten en relación con las demás reglas y principios del sistema jurídico.	</w:t>
        <w:br w:type="textWrapping"/>
      </w:r>
      <w:r>
        <w:rPr>
          <w:lang w:val="es-AR" w:eastAsia="es-AR" w:bidi="es-AR"/>
        </w:rPr>
        <w:t xml:space="preserve"> 	Naturalmente, puede ocurrir que en los denominados casos difíciles, las reglas y principios del sistema jurídico pugnen entre sí, lo que significa que una decisión pueda ser coherente con relación a unos principios e incoherente respecto  a otros. Por ello, cabe procurar que la decisión sea lo más coherente posible, es decir que sea compatible con el mayor número de principios, o los más básicos entre ellos, o el balance óptimo entre principios opuestos (Cf. ATIENZA, Manuel, Las razones del derecho, Ed. Centros de Estudios Constitucionales, 1991, pag. 166. ALEXY, Robert, La construcción de los derechos fundamentales, Ed. Ad-Hoc, Buenos Aires, 2012, pag. 30).</w:t>
      </w:r>
    </w:p>
    <w:p>
      <w:pPr>
        <w:pStyle w:val="[Normal]"/>
        <w:spacing w:line="480" w:lineRule="auto"/>
        <w:ind w:firstLine="1134"/>
        <w:jc w:val="both"/>
        <w:rPr>
          <w:lang w:val="es-AR" w:eastAsia="es-AR" w:bidi="es-AR"/>
        </w:rPr>
      </w:pPr>
      <w:r>
        <w:rPr>
          <w:color w:val="000000"/>
          <w:lang w:val="es-AR" w:eastAsia="es-AR" w:bidi="es-AR"/>
        </w:rPr>
        <w:t xml:space="preserve">Por las razones aportadas</w:t>
      </w:r>
      <w:r>
        <w:rPr>
          <w:lang w:val="es-AR" w:eastAsia="es-AR" w:bidi="es-AR"/>
        </w:rPr>
        <w:t xml:space="preserve">, citas legales de referencia y con el alcance indicado, entiendo que corresponde confirmar el fallo apelado.</w:t>
      </w:r>
    </w:p>
    <w:p>
      <w:pPr>
        <w:pStyle w:val="[Normal]"/>
        <w:spacing w:line="480" w:lineRule="auto"/>
        <w:ind w:firstLine="1134"/>
        <w:jc w:val="both"/>
        <w:rPr>
          <w:b/>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Bernardo Louise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 Graciela Scaraffía</w:t>
      </w:r>
      <w:r>
        <w:rPr>
          <w:color w:val="000000"/>
          <w:lang w:val="es-AR" w:eastAsia="es-AR" w:bidi="es-AR"/>
        </w:rPr>
        <w:t xml:space="preserve"> </w:t>
      </w:r>
      <w:r>
        <w:rPr>
          <w:lang w:val="es-AR" w:eastAsia="es-AR" w:bidi="es-AR"/>
        </w:rPr>
        <w:t xml:space="preserve">dijo: de conformidad al resultado habido al tratarse las cuestiones precedentes, estimo que el pronunciamiento que corresponde dictar es: 1) Desestimar el recurso de apelación deducido, y en consecuencia confirmar el decisorio atacado en cuanto fuera materia de agravio.  2) Costas de Alzada a la apelante vencida (art. 68 y 69 C.P.C.). Regístrese. Notifíquese. Devuélvase.-</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Bernardo Louise</w:t>
      </w:r>
      <w:r>
        <w:rPr>
          <w:color w:val="000000"/>
          <w:lang w:val="es-AR" w:eastAsia="es-AR" w:bidi="es-AR"/>
        </w:rPr>
        <w:t xml:space="preserve"> </w:t>
      </w:r>
      <w:r>
        <w:rPr>
          <w:lang w:val="es-AR" w:eastAsia="es-AR" w:bidi="es-AR"/>
        </w:rPr>
        <w:t xml:space="preserve">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1) Desestimar el recurso de apelación deducido, y en consecuencia confirmar el decisorio atacado en cuanto fuera materia de agravio. 	</w:t>
        <w:br w:type="textWrapping"/>
      </w:r>
      <w:r>
        <w:rPr>
          <w:lang w:val="es-AR" w:eastAsia="es-AR" w:bidi="es-AR"/>
        </w:rPr>
        <w:t xml:space="preserve"> 	 2) Costas de Alzada a la apelante vencida (art. 68 y 69 C.P.C.).  		Regístrese. Notifíquese. Devuélvase.</w:t>
      </w:r>
    </w:p>
    <w:p>
      <w:pPr>
        <w:pStyle w:val="[Normal]"/>
        <w:spacing w:line="480" w:lineRule="auto"/>
        <w:ind w:firstLine="1134"/>
        <w:jc w:val="both"/>
        <w:rPr>
          <w:lang w:val="es-AR" w:eastAsia="es-AR" w:bidi="es-AR"/>
        </w:rPr>
      </w:pPr>
    </w:p>
    <w:p>
      <w:pPr>
        <w:pStyle w:val="[Normal]"/>
        <w:spacing w:line="480" w:lineRule="auto"/>
        <w:ind w:firstLine="1134"/>
        <w:jc w:val="both"/>
        <w:rPr>
          <w:lang w:val="es-AR" w:eastAsia="es-AR" w:bidi="es-AR"/>
        </w:rPr>
      </w:pPr>
    </w:p>
    <w:p>
      <w:pPr>
        <w:pStyle w:val="[Normal]"/>
        <w:ind w:firstLine="1134"/>
        <w:jc w:val="both"/>
        <w:rPr>
          <w:rFonts w:ascii="Calibri" w:hAnsi="Calibri" w:eastAsia="Calibri" w:cs="Calibri"/>
          <w:sz w:val="22"/>
          <w:lang w:val="es-AR" w:eastAsia="es-AR" w:bidi="es-AR"/>
        </w:rPr>
      </w:pPr>
      <w:r>
        <w:rPr>
          <w:rFonts w:ascii="Calibri" w:hAnsi="Calibri" w:eastAsia="Calibri" w:cs="Calibri"/>
          <w:sz w:val="22"/>
          <w:lang w:val="es-AR" w:eastAsia="es-AR" w:bidi="es-AR"/>
        </w:rPr>
        <w:t xml:space="preserve">                                           Graciela SCARAFFIA                                                                                                                                              Jueza  </w:t>
      </w:r>
    </w:p>
    <w:p>
      <w:pPr>
        <w:pStyle w:val="[Normal]"/>
        <w:ind w:firstLine="1134"/>
        <w:jc w:val="both"/>
        <w:rPr>
          <w:rFonts w:ascii="Calibri" w:hAnsi="Calibri" w:eastAsia="Calibri" w:cs="Calibri"/>
          <w:sz w:val="22"/>
          <w:lang w:val="es-AR" w:eastAsia="es-AR" w:bidi="es-AR"/>
        </w:rPr>
      </w:pPr>
    </w:p>
    <w:p>
      <w:pPr>
        <w:pStyle w:val="[Normal]"/>
        <w:ind w:firstLine="1134"/>
        <w:jc w:val="both"/>
        <w:rPr>
          <w:rFonts w:ascii="Calibri" w:hAnsi="Calibri" w:eastAsia="Calibri" w:cs="Calibri"/>
          <w:sz w:val="22"/>
          <w:lang w:val="es-AR" w:eastAsia="es-AR" w:bidi="es-AR"/>
        </w:rPr>
      </w:pPr>
    </w:p>
    <w:p>
      <w:pPr>
        <w:pStyle w:val="[Normal]"/>
        <w:ind w:firstLine="1134"/>
        <w:jc w:val="both"/>
        <w:rPr>
          <w:rFonts w:ascii="Calibri" w:hAnsi="Calibri" w:eastAsia="Calibri" w:cs="Calibri"/>
          <w:sz w:val="22"/>
          <w:lang w:val="es-AR" w:eastAsia="es-AR" w:bidi="es-AR"/>
        </w:rPr>
      </w:pPr>
    </w:p>
    <w:p>
      <w:pPr>
        <w:pStyle w:val="[Normal]"/>
        <w:ind w:firstLine="1134"/>
        <w:jc w:val="both"/>
        <w:rPr>
          <w:rFonts w:ascii="Calibri" w:hAnsi="Calibri" w:eastAsia="Calibri" w:cs="Calibri"/>
          <w:sz w:val="22"/>
          <w:lang w:val="es-AR" w:eastAsia="es-AR" w:bidi="es-AR"/>
        </w:rPr>
      </w:pPr>
      <w:r>
        <w:rPr>
          <w:rFonts w:ascii="Calibri" w:hAnsi="Calibri" w:eastAsia="Calibri" w:cs="Calibri"/>
          <w:sz w:val="22"/>
          <w:lang w:val="es-AR" w:eastAsia="es-AR" w:bidi="es-AR"/>
        </w:rPr>
        <w:t xml:space="preserve">Bernardo LOUISE </w:t>
      </w:r>
    </w:p>
    <w:p>
      <w:pPr>
        <w:pStyle w:val="[Normal]"/>
        <w:ind w:firstLine="1134"/>
        <w:jc w:val="both"/>
        <w:rPr>
          <w:rFonts w:ascii="Calibri" w:hAnsi="Calibri" w:eastAsia="Calibri" w:cs="Calibri"/>
          <w:sz w:val="22"/>
          <w:lang w:val="es-AR" w:eastAsia="es-AR" w:bidi="es-AR"/>
        </w:rPr>
      </w:pPr>
      <w:r>
        <w:rPr>
          <w:rFonts w:ascii="Calibri" w:hAnsi="Calibri" w:eastAsia="Calibri" w:cs="Calibri"/>
          <w:sz w:val="22"/>
          <w:lang w:val="es-AR" w:eastAsia="es-AR" w:bidi="es-AR"/>
        </w:rPr>
        <w:t xml:space="preserve">           Juez</w:t>
      </w:r>
    </w:p>
    <w:p>
      <w:pPr>
        <w:pStyle w:val="[Normal]"/>
        <w:ind w:firstLine="1134"/>
        <w:jc w:val="both"/>
        <w:rPr>
          <w:rFonts w:ascii="Calibri" w:hAnsi="Calibri" w:eastAsia="Calibri" w:cs="Calibri"/>
          <w:sz w:val="22"/>
          <w:lang w:val="es-AR" w:eastAsia="es-AR" w:bidi="es-AR"/>
        </w:rPr>
      </w:pPr>
    </w:p>
    <w:p>
      <w:pPr>
        <w:pStyle w:val="[Normal]"/>
        <w:ind w:firstLine="1134"/>
        <w:jc w:val="both"/>
        <w:rPr>
          <w:rFonts w:ascii="Calibri" w:hAnsi="Calibri" w:eastAsia="Calibri" w:cs="Calibri"/>
          <w:sz w:val="22"/>
          <w:lang w:val="es-AR" w:eastAsia="es-AR" w:bidi="es-AR"/>
        </w:rPr>
      </w:pPr>
    </w:p>
    <w:p>
      <w:pPr>
        <w:pStyle w:val="[Normal]"/>
        <w:ind w:firstLine="1134"/>
        <w:jc w:val="both"/>
        <w:rPr>
          <w:rFonts w:ascii="Calibri" w:hAnsi="Calibri" w:eastAsia="Calibri" w:cs="Calibri"/>
          <w:sz w:val="22"/>
          <w:lang w:val="es-AR" w:eastAsia="es-AR" w:bidi="es-AR"/>
        </w:rPr>
      </w:pPr>
    </w:p>
    <w:p>
      <w:pPr>
        <w:pStyle w:val="[Normal]"/>
        <w:ind w:firstLine="1134"/>
        <w:jc w:val="both"/>
        <w:rPr>
          <w:rFonts w:ascii="Calibri" w:hAnsi="Calibri" w:eastAsia="Calibri" w:cs="Calibri"/>
          <w:sz w:val="22"/>
          <w:lang w:val="es-AR" w:eastAsia="es-AR" w:bidi="es-AR"/>
        </w:rPr>
      </w:pPr>
      <w:r>
        <w:rPr>
          <w:rFonts w:ascii="Calibri" w:hAnsi="Calibri" w:eastAsia="Calibri" w:cs="Calibri"/>
          <w:sz w:val="22"/>
          <w:lang w:val="es-AR" w:eastAsia="es-AR" w:bidi="es-AR"/>
        </w:rPr>
        <w:t xml:space="preserve">                                                   Adrian Oscar MOREA</w:t>
      </w:r>
    </w:p>
    <w:p>
      <w:pPr>
        <w:pStyle w:val="[Normal]"/>
        <w:rPr>
          <w:rFonts w:ascii="Calibri" w:hAnsi="Calibri" w:eastAsia="Calibri" w:cs="Calibri"/>
          <w:sz w:val="22"/>
          <w:lang w:val="es-AR" w:eastAsia="es-AR" w:bidi="es-AR"/>
        </w:rPr>
      </w:pPr>
      <w:r>
        <w:rPr>
          <w:rFonts w:ascii="Calibri" w:hAnsi="Calibri" w:eastAsia="Calibri" w:cs="Calibri"/>
          <w:sz w:val="22"/>
          <w:lang w:val="es-AR" w:eastAsia="es-AR" w:bidi="es-AR"/>
        </w:rPr>
        <w:t xml:space="preserve">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 w:name="Calibri">
    <w:charset w:val="00"/>
    <w:family w:val="swiss"/>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