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360" w:lineRule="auto"/>
        <w:rPr>
          <w:lang w:val="es-AR" w:eastAsia="es-AR" w:bidi="es-AR"/>
        </w:rPr>
      </w:pPr>
      <w:r>
        <w:rPr>
          <w:sz w:val="20"/>
          <w:lang w:val="es-AR" w:eastAsia="es-AR" w:bidi="es-AR"/>
        </w:rPr>
        <w:t xml:space="preserve"> </w:t>
      </w:r>
      <w:r>
        <w:rPr>
          <w:b/>
          <w:lang w:val="es-AR" w:eastAsia="es-AR" w:bidi="es-AR"/>
        </w:rPr>
        <w:t xml:space="preserve">	Registro N° 57       /</w:t>
      </w:r>
      <w:r>
        <w:rPr>
          <w:b/>
          <w:color w:val="000000"/>
          <w:lang w:val="es-AR" w:eastAsia="es-AR" w:bidi="es-AR"/>
        </w:rPr>
        <w:t xml:space="preserve">2019</w:t>
      </w:r>
      <w:r>
        <w:rPr>
          <w:color w:val="000000"/>
          <w:lang w:val="es-AR" w:eastAsia="es-AR" w:bidi="es-AR"/>
        </w:rPr>
        <w:t xml:space="preserve"> </w:t>
      </w:r>
    </w:p>
    <w:p>
      <w:pPr>
        <w:pStyle w:val="[Normal]"/>
        <w:spacing w:line="360" w:lineRule="auto"/>
        <w:jc w:val="both"/>
        <w:rPr>
          <w:lang w:val="es-AR" w:eastAsia="es-AR" w:bidi="es-AR"/>
        </w:rPr>
      </w:pPr>
      <w:r>
        <w:rPr>
          <w:b/>
          <w:lang w:val="es-AR" w:eastAsia="es-AR" w:bidi="es-AR"/>
        </w:rPr>
        <w:t xml:space="preserve">	Fojas</w:t>
      </w:r>
      <w:r>
        <w:rPr>
          <w:lang w:val="es-AR" w:eastAsia="es-AR" w:bidi="es-AR"/>
        </w:rPr>
        <w:t xml:space="preserve">  355/360</w:t>
      </w:r>
    </w:p>
    <w:p>
      <w:pPr>
        <w:pStyle w:val="[Normal]"/>
        <w:spacing w:line="360" w:lineRule="auto"/>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En la ciudad de Pergamino, el 09  de Mayo  de </w:t>
      </w:r>
      <w:r>
        <w:rPr>
          <w:color w:val="000000"/>
          <w:lang w:val="es-AR" w:eastAsia="es-AR" w:bidi="es-AR"/>
        </w:rPr>
        <w:t xml:space="preserve">2019</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3476-18</w:t>
      </w:r>
      <w:r>
        <w:rPr>
          <w:lang w:val="es-AR" w:eastAsia="es-AR" w:bidi="es-AR"/>
        </w:rPr>
        <w:t xml:space="preserve"> caratulada </w:t>
      </w:r>
      <w:r>
        <w:rPr>
          <w:b/>
          <w:lang w:val="es-AR" w:eastAsia="es-AR" w:bidi="es-AR"/>
        </w:rPr>
        <w:t xml:space="preserve">"</w:t>
      </w:r>
      <w:r>
        <w:rPr>
          <w:b/>
          <w:color w:val="000000"/>
          <w:lang w:val="es-AR" w:eastAsia="es-AR" w:bidi="es-AR"/>
        </w:rPr>
        <w:t xml:space="preserve">GOMEZ RICARDO OMAR C/ GOMEZ NESTOR HUGO Y OTROS S/ SIMULACION</w:t>
      </w:r>
      <w:r>
        <w:rPr>
          <w:b/>
          <w:lang w:val="es-AR" w:eastAsia="es-AR" w:bidi="es-AR"/>
        </w:rPr>
        <w:t xml:space="preserve">"</w:t>
      </w:r>
      <w:r>
        <w:rPr>
          <w:lang w:val="es-AR" w:eastAsia="es-AR" w:bidi="es-AR"/>
        </w:rPr>
        <w:t xml:space="preserve">, Expte. </w:t>
      </w:r>
      <w:r>
        <w:rPr>
          <w:color w:val="000000"/>
          <w:lang w:val="es-AR" w:eastAsia="es-AR" w:bidi="es-AR"/>
        </w:rPr>
        <w:t xml:space="preserve">69.940 </w:t>
      </w:r>
      <w:r>
        <w:rPr>
          <w:lang w:val="es-AR" w:eastAsia="es-AR" w:bidi="es-AR"/>
        </w:rPr>
        <w:t xml:space="preserve">del </w:t>
      </w:r>
      <w:r>
        <w:rPr>
          <w:color w:val="000000"/>
          <w:lang w:val="es-AR" w:eastAsia="es-AR" w:bidi="es-AR"/>
        </w:rPr>
        <w:t xml:space="preserve">Juzgado en lo Civil Y Comercial Nº 1</w:t>
      </w:r>
      <w:r>
        <w:rPr>
          <w:lang w:val="es-AR" w:eastAsia="es-AR" w:bidi="es-AR"/>
        </w:rPr>
        <w:t xml:space="preserve">, se practicó el sorteo de ley que determinó que la votación debía efectuarse en el siguiente orden: </w:t>
      </w:r>
      <w:r>
        <w:rPr>
          <w:color w:val="000000"/>
          <w:lang w:val="es-AR" w:eastAsia="es-AR" w:bidi="es-AR"/>
        </w:rPr>
        <w:t xml:space="preserve">Graciela Scaraffia y Roberto Degleue</w:t>
      </w:r>
      <w:r>
        <w:rPr>
          <w:lang w:val="es-AR" w:eastAsia="es-AR" w:bidi="es-AR"/>
        </w:rPr>
        <w:t xml:space="preserve">, y estudiados los autos se resolvió plantear y votar las siguientes: </w:t>
      </w:r>
    </w:p>
    <w:p>
      <w:pPr>
        <w:pStyle w:val="[Normal]"/>
        <w:spacing w:line="480" w:lineRule="auto"/>
        <w:ind w:firstLine="1134"/>
        <w:jc w:val="both"/>
        <w:rPr>
          <w:lang w:val="es-AR" w:eastAsia="es-AR" w:bidi="es-AR"/>
        </w:rPr>
      </w:pPr>
      <w:r>
        <w:rPr>
          <w:b/>
          <w:u w:val="single"/>
          <w:lang w:val="es-AR" w:eastAsia="es-AR" w:bidi="es-AR"/>
        </w:rPr>
        <w:t xml:space="preserve">C U E S T I O N E S:</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la señora Jueza </w:t>
      </w:r>
      <w:r>
        <w:rPr>
          <w:color w:val="000000"/>
          <w:lang w:val="es-AR" w:eastAsia="es-AR" w:bidi="es-AR"/>
        </w:rPr>
        <w:t xml:space="preserve">Graciela Scaraffia</w:t>
      </w:r>
      <w:r>
        <w:rPr>
          <w:lang w:val="es-AR" w:eastAsia="es-AR" w:bidi="es-AR"/>
        </w:rPr>
        <w:t xml:space="preserve"> dijo:</w:t>
      </w:r>
    </w:p>
    <w:p>
      <w:pPr>
        <w:pStyle w:val="[Normal]"/>
        <w:spacing w:line="480" w:lineRule="auto"/>
        <w:ind w:firstLine="1134"/>
        <w:jc w:val="both"/>
        <w:rPr>
          <w:lang w:val="es-AR" w:eastAsia="es-AR" w:bidi="es-AR"/>
        </w:rPr>
      </w:pPr>
      <w:r>
        <w:rPr>
          <w:lang w:val="es-AR" w:eastAsia="es-AR" w:bidi="es-AR"/>
        </w:rPr>
        <w:t xml:space="preserve">El titular del Juzgado en lo Civil y Comercial Nro. 1 departamental, dictó sentencia en autos a fs. 352/361vta. rechazando  la demanda incoada por el Sr. Ricardo Omar Gómez, por simulación y -subsidiariamente- acción revocatoria deducida contra Claudia Betina Gregoratti, Tomás Gómez y   Joaquín Gómez. Aplicó las costas al actor Sr. Ricardo Omar Gómez, por resultar vencido.</w:t>
      </w:r>
    </w:p>
    <w:p>
      <w:pPr>
        <w:pStyle w:val="[Normal]"/>
        <w:spacing w:line="480" w:lineRule="auto"/>
        <w:ind w:firstLine="1134"/>
        <w:jc w:val="both"/>
        <w:rPr>
          <w:lang w:val="es-AR" w:eastAsia="es-AR" w:bidi="es-AR"/>
        </w:rPr>
      </w:pPr>
      <w:r>
        <w:rPr>
          <w:lang w:val="es-AR" w:eastAsia="es-AR" w:bidi="es-AR"/>
        </w:rPr>
        <w:t xml:space="preserve">Difirió la regulación de honorarios de los letrados intervinientes  y  de  los  peritos,  hasta  que  medie  firme  la respectiva  determinación  de  la  base.</w:t>
      </w:r>
    </w:p>
    <w:p>
      <w:pPr>
        <w:pStyle w:val="[Normal]"/>
        <w:spacing w:line="480" w:lineRule="auto"/>
        <w:ind w:firstLine="1134"/>
        <w:jc w:val="both"/>
        <w:rPr>
          <w:lang w:val="es-AR" w:eastAsia="es-AR" w:bidi="es-AR"/>
        </w:rPr>
      </w:pPr>
      <w:r>
        <w:rPr>
          <w:lang w:val="es-AR" w:eastAsia="es-AR" w:bidi="es-AR"/>
        </w:rPr>
        <w:t xml:space="preserve">Tal decisorio fue objeto del recurso de apelación interpuesto por la actora a fs. 372 concedido libremente a fs. 374, fundado a fs. 381/389, habiendo la contraria y la Sra. Asesora de Incapaces evacuado los traslados ordenados a fs. 390, quedando incontestado por la abogada del niño Dra. María Lucia Alberico. A fs. 399 se llama autos para dictar sentencia, providencia que, firme a la fecha deja la causa en condiciones de ser fallada.-</w:t>
      </w:r>
    </w:p>
    <w:p>
      <w:pPr>
        <w:pStyle w:val="[Normal]"/>
        <w:spacing w:line="480" w:lineRule="auto"/>
        <w:ind w:firstLine="1134"/>
        <w:jc w:val="both"/>
        <w:rPr>
          <w:lang w:val="es-AR" w:eastAsia="es-AR" w:bidi="es-AR"/>
        </w:rPr>
      </w:pPr>
      <w:r>
        <w:rPr>
          <w:lang w:val="es-AR" w:eastAsia="es-AR" w:bidi="es-AR"/>
        </w:rPr>
        <w:t xml:space="preserve">Los agravios del doliente que comprenden la apelación y la nulidad del decisorio dictado, discurren sobre varios puntos: a) el que asienta sobre una errónea aplicación de los arts. 2562 y 2563 del CCCN sugiriendo que se aplicaron sobre una situación estática y que debió acudirse al art. 4030 del Cód. Velez que contemplaba como punto de partida del cómputo del plazo de prescripción "el conocimiento efectivo del acto viciado por parte de quien pretende la nulidad" y no "la posibilidad de conocer dicho acto" incorporada por el art. 2563 CCCN.</w:t>
      </w:r>
    </w:p>
    <w:p>
      <w:pPr>
        <w:pStyle w:val="[Normal]"/>
        <w:spacing w:line="480" w:lineRule="auto"/>
        <w:jc w:val="both"/>
        <w:rPr>
          <w:lang w:val="es-AR" w:eastAsia="es-AR" w:bidi="es-AR"/>
        </w:rPr>
      </w:pPr>
      <w:r>
        <w:rPr>
          <w:lang w:val="es-AR" w:eastAsia="es-AR" w:bidi="es-AR"/>
        </w:rPr>
        <w:t xml:space="preserve">                  b) La fecha a partir de la cual se cuenta en la sentencia, señalando que no fue sino hasta 14 días después del 11/11/2015 en el que su parte pudo por primera vez conocer que el inmueble que se pretendía denunciar en el acervo sucesorio de los padres del aquí demandado, ya no estaba bajo la titularidad de los causantes, sino que de manera inexplicable pasó a figurar registralmente como de titularidad de dos hijos del deudor subrogado relatando las tribulaciones habidas por su parte para el logro de la información adecuada. Señala que la primera oportunidad que tuvo su parte de sospechar la existencia de alguna irregularidad en la titularidad del bien inmueble que integra el acervo sucesorio de los padres del demandado, fue 14 días después del 26/10/2015, ocasión en que el Registro de la Propiedad Inmueble de la Provincia observara el informe de dominio del inmueble en cuestión, que fuera solicitado para ser acompañado en el trámite sucesorio que es prueba instrumental en el presente, alegando que debían ser rectificada la titularidad. Indica que fue ese el momento en que su parte contó con la posibilidad de conocer y por ende a su criterio, ese debe ser el punto de partida de los plazos de prescripción.-</w:t>
      </w:r>
    </w:p>
    <w:p>
      <w:pPr>
        <w:pStyle w:val="[Normal]"/>
        <w:spacing w:line="480" w:lineRule="auto"/>
        <w:ind w:firstLine="1134"/>
        <w:jc w:val="both"/>
        <w:rPr>
          <w:lang w:val="es-AR" w:eastAsia="es-AR" w:bidi="es-AR"/>
        </w:rPr>
      </w:pPr>
      <w:r>
        <w:rPr>
          <w:lang w:val="es-AR" w:eastAsia="es-AR" w:bidi="es-AR"/>
        </w:rPr>
        <w:t xml:space="preserve">Ataca también la afirmación sostenida por el aquo en punto a que la publicidad que dio la registración de los actos bastara a cualquier sujeto para obtener el conocimiento necesario para promover una acción como la presente.</w:t>
      </w:r>
    </w:p>
    <w:p>
      <w:pPr>
        <w:pStyle w:val="[Normal]"/>
        <w:spacing w:line="480" w:lineRule="auto"/>
        <w:ind w:firstLine="1134"/>
        <w:jc w:val="both"/>
        <w:rPr>
          <w:lang w:val="es-AR" w:eastAsia="es-AR" w:bidi="es-AR"/>
        </w:rPr>
      </w:pPr>
      <w:r>
        <w:rPr>
          <w:lang w:val="es-AR" w:eastAsia="es-AR" w:bidi="es-AR"/>
        </w:rPr>
        <w:t xml:space="preserve">Discurre sobre las vicisitudes relacionadas con su accionar para lograr el conocimiento de los actos llevados a cabo dando por reproducidas las argumentaciones traídas en su escrito de expresión de agravios en virtud de los principios de economía y celeridad procesal.</w:t>
      </w:r>
    </w:p>
    <w:p>
      <w:pPr>
        <w:pStyle w:val="[Normal]"/>
        <w:spacing w:line="480" w:lineRule="auto"/>
        <w:ind w:firstLine="1134"/>
        <w:jc w:val="both"/>
        <w:rPr>
          <w:lang w:val="es-AR" w:eastAsia="es-AR" w:bidi="es-AR"/>
        </w:rPr>
      </w:pPr>
      <w:r>
        <w:rPr>
          <w:lang w:val="es-AR" w:eastAsia="es-AR" w:bidi="es-AR"/>
        </w:rPr>
        <w:t xml:space="preserve">La plataforma fáctica da cuenta que el actor Ricardo Omar Gómez promovió demanda de simulación y en subsidio revocatoria contra su deudor Néstor Hugo Gómez y Claudia Betina Gregoratti, impetrando se declare la nulidad de la donación gratuita y sin condición que se realizara por Néstor Hugo Gómez a sus hijos menores Joaquín y Tomás y que fuera instrumentada mediante escritura Nro 583 en fecha 13 de setiembre de 2012 por ante el Notario Damián Linares.-</w:t>
      </w:r>
    </w:p>
    <w:p>
      <w:pPr>
        <w:pStyle w:val="[Normal]"/>
        <w:spacing w:line="480" w:lineRule="auto"/>
        <w:ind w:firstLine="1134"/>
        <w:jc w:val="both"/>
        <w:rPr>
          <w:lang w:val="es-AR" w:eastAsia="es-AR" w:bidi="es-AR"/>
        </w:rPr>
      </w:pPr>
      <w:r>
        <w:rPr>
          <w:lang w:val="es-AR" w:eastAsia="es-AR" w:bidi="es-AR"/>
        </w:rPr>
        <w:t xml:space="preserve">El a quo a fin de analizar la procedencia o no de la acción trata de manera preliminar el planteo de prescripción opuesto por los demandados, al que da favorable acogida. Para ello recurre a la aplicación de los arts. 2562 y 2563 del CCCN señalando que el plazo de prescripción vigente es de dos años a contar desde que la falsa causa fuese conocida, y que dicho  plazo se aplica aún cuando las acciones sean intentadas por terceros.</w:t>
      </w:r>
    </w:p>
    <w:p>
      <w:pPr>
        <w:pStyle w:val="[Normal]"/>
        <w:spacing w:line="480" w:lineRule="auto"/>
        <w:ind w:firstLine="1134"/>
        <w:jc w:val="both"/>
        <w:rPr>
          <w:lang w:val="es-AR" w:eastAsia="es-AR" w:bidi="es-AR"/>
        </w:rPr>
      </w:pPr>
      <w:r>
        <w:rPr>
          <w:lang w:val="es-AR" w:eastAsia="es-AR" w:bidi="es-AR"/>
        </w:rPr>
        <w:t xml:space="preserve">Para así decidir valoró que:  a) la copia de solicitud  de asiento registral de fecha11/11/2015 acompañada por la propia actora cuyo original luce a fs 14/16 de los autos Nro. 68.908 de medidas cautelares tramitadas entre las partes b) la copia de la escritura Nro. 86 de donación sujeta a posterior aceptación de fecha 1/06/2000, C) copia de la escritura Nro. 485 complementaria de donación sujeta a posterior aceptación de fecha 13/09/2012, d) consulta de índice de titularidad de fecha 13/12/2011 (fs. 36/36) acompañado por la propia actora; desprendiendo de todo ello que la donación celebrada por el demandado a favor de sus hijos fue inscripta ante el Registro de la Propiedad Inmueble </w:t>
      </w:r>
      <w:r>
        <w:rPr>
          <w:b/>
          <w:lang w:val="es-AR" w:eastAsia="es-AR" w:bidi="es-AR"/>
        </w:rPr>
        <w:t xml:space="preserve">con fecha 21/09/2012,</w:t>
      </w:r>
      <w:r>
        <w:rPr>
          <w:lang w:val="es-AR" w:eastAsia="es-AR" w:bidi="es-AR"/>
        </w:rPr>
        <w:t xml:space="preserve"> </w:t>
      </w:r>
      <w:r>
        <w:rPr>
          <w:b/>
          <w:lang w:val="es-AR" w:eastAsia="es-AR" w:bidi="es-AR"/>
        </w:rPr>
        <w:t xml:space="preserve">desprendiendo que a partir de esa fecha el actor contó con la posibilidad de conocer el acto jurídico atacado,</w:t>
      </w:r>
      <w:r>
        <w:rPr>
          <w:lang w:val="es-AR" w:eastAsia="es-AR" w:bidi="es-AR"/>
        </w:rPr>
        <w:t xml:space="preserve"> evaluando que contaron con la posibilidad cierta de conocer la existencia de ese negocio jurídico, el que fija a partir de la registración y publicidad por ante el Registro señalado. Desde esa fecha y hasta el inicio de estas actuaciones (23/08/2016) , cuenta el plazo bienal establecido en la norma fondal y tiene por transcurrido el mismo y operada la prescripción de la acción.</w:t>
      </w:r>
    </w:p>
    <w:p>
      <w:pPr>
        <w:pStyle w:val="[Normal]"/>
        <w:spacing w:line="480" w:lineRule="auto"/>
        <w:ind w:firstLine="1134"/>
        <w:jc w:val="both"/>
        <w:rPr>
          <w:lang w:val="es-AR" w:eastAsia="es-AR" w:bidi="es-AR"/>
        </w:rPr>
      </w:pPr>
      <w:r>
        <w:rPr>
          <w:lang w:val="es-AR" w:eastAsia="es-AR" w:bidi="es-AR"/>
        </w:rPr>
        <w:t xml:space="preserve">Contra esta interpretación viene sostenida la queja.-</w:t>
      </w:r>
    </w:p>
    <w:p>
      <w:pPr>
        <w:pStyle w:val="[Normal]"/>
        <w:spacing w:line="480" w:lineRule="auto"/>
        <w:ind w:firstLine="1134"/>
        <w:jc w:val="both"/>
        <w:rPr>
          <w:lang w:val="es-AR" w:eastAsia="es-AR" w:bidi="es-AR"/>
        </w:rPr>
      </w:pPr>
      <w:r>
        <w:rPr>
          <w:lang w:val="es-AR" w:eastAsia="es-AR" w:bidi="es-AR"/>
        </w:rPr>
        <w:t xml:space="preserve">Si bien voy a llegar al mismo resultado decidido por el juez en punto a la desestimación de la demanda incoada, las motivaciones jurídicas para alcanzar el mismo son diferentes a las desarrolladas por el operador de la anterior instancia.</w:t>
      </w:r>
    </w:p>
    <w:p>
      <w:pPr>
        <w:pStyle w:val="[Normal]"/>
        <w:spacing w:line="480" w:lineRule="auto"/>
        <w:ind w:firstLine="1134"/>
        <w:jc w:val="both"/>
        <w:rPr>
          <w:lang w:val="es-AR" w:eastAsia="es-AR" w:bidi="es-AR"/>
        </w:rPr>
      </w:pPr>
      <w:r>
        <w:rPr>
          <w:lang w:val="es-AR" w:eastAsia="es-AR" w:bidi="es-AR"/>
        </w:rPr>
        <w:t xml:space="preserve">1) De los escritos de responde se desprende que los demandados, cada uno a su turno, . aludieron en forma tangencial al instituto de la prescripción.  Que dicha formulación, aunque deficiente  fue recogida por el operador, admitiéndola como defensa de fondo a la que diera tratamiento positivo al dictar la sentencia  y que sellara la suerte del litigio.-</w:t>
      </w:r>
    </w:p>
    <w:p>
      <w:pPr>
        <w:pStyle w:val="[Normal]"/>
        <w:spacing w:line="480" w:lineRule="auto"/>
        <w:ind w:firstLine="1134"/>
        <w:jc w:val="both"/>
        <w:rPr>
          <w:lang w:val="es-AR" w:eastAsia="es-AR" w:bidi="es-AR"/>
        </w:rPr>
      </w:pPr>
      <w:r>
        <w:rPr>
          <w:lang w:val="es-AR" w:eastAsia="es-AR" w:bidi="es-AR"/>
        </w:rPr>
        <w:t xml:space="preserve">No puedo dejar de advertir que la defensa opuesta aún en el modo deficiente en que fuera planteada, debió ser sustanciada en forma adecuada conforme plantea el art. 486, 348 y ccs del CPCC, sin que ello se desprenda de las constancias procesales de la causa.  Empero, también debo señalar que tratándose de nulidades procesales relativas, quedan convalidadas tácitamente por la parte que teniendo el derecho de confrontarlas, no lo hizo en tiempo y forma. (art. 169, 170 del CPCC y su doctrina).  El actor que nada dijo sobre la formulación ni la omisión de sustanciación, tampoco trajo el tema a debate en los agravios, refiriéndose sólo a la controversia sobre si resulta aplicable el viejo Código o el nuevo sistema normativo en punto al instituto, admitiendo de plano el tratamiento sobre la misma.-</w:t>
      </w:r>
    </w:p>
    <w:p>
      <w:pPr>
        <w:pStyle w:val="[Normal]"/>
        <w:spacing w:line="480" w:lineRule="auto"/>
        <w:ind w:firstLine="1134"/>
        <w:jc w:val="both"/>
        <w:rPr>
          <w:lang w:val="es-AR" w:eastAsia="es-AR" w:bidi="es-AR"/>
        </w:rPr>
      </w:pPr>
      <w:r>
        <w:rPr>
          <w:lang w:val="es-AR" w:eastAsia="es-AR" w:bidi="es-AR"/>
        </w:rPr>
        <w:t xml:space="preserve">De tal modo, y pese a las deficiencias advertidas, consentido tácitamente por el accionante el acto irregular apuntado, habiendo el mismo logrado su finalidad, por ese efecto de compurgación este Tribunal en su tarea de revisión puede acceder al tema propuesto atinente a la defensa ensayada y en tal caso sí corresponde aplicar el plazo de prescripción y comienzo de cómputo del Código Velezano o el nuevo  sistema unificado, queja que introdujo el doliente.</w:t>
      </w:r>
    </w:p>
    <w:p>
      <w:pPr>
        <w:pStyle w:val="[Normal]"/>
        <w:spacing w:line="480" w:lineRule="auto"/>
        <w:ind w:firstLine="1134"/>
        <w:jc w:val="both"/>
        <w:rPr>
          <w:lang w:val="es-AR" w:eastAsia="es-AR" w:bidi="es-AR"/>
        </w:rPr>
      </w:pPr>
      <w:r>
        <w:rPr>
          <w:lang w:val="es-AR" w:eastAsia="es-AR" w:bidi="es-AR"/>
        </w:rPr>
        <w:t xml:space="preserve">Respecto de la compurgación resulta útil el precedente que indica que</w:t>
      </w:r>
      <w:r>
        <w:rPr>
          <w:i/>
          <w:lang w:val="es-AR" w:eastAsia="es-AR" w:bidi="es-AR"/>
        </w:rPr>
        <w:t xml:space="preserve"> "Si el recurrente tomó conocimiento expreso de la excepción de prescripción opuesta por el deudor y no la contestó ni planteó la nulidad ante la omisión de traslado en la instancia de origen, sino que siguió las actuaciones, ha quedado convalidada cualquier irregularidad (art. 170 del CPCC) y por ello deviene novedoso y extemporáneo su planteo en esta instancia extraordinaria"</w:t>
      </w:r>
      <w:r>
        <w:rPr>
          <w:lang w:val="es-AR" w:eastAsia="es-AR" w:bidi="es-AR"/>
        </w:rPr>
        <w:t xml:space="preserve">.</w:t>
      </w:r>
      <w:r>
        <w:rPr>
          <w:b/>
          <w:lang w:val="es-AR" w:eastAsia="es-AR" w:bidi="es-AR"/>
        </w:rPr>
        <w:t xml:space="preserve"> </w:t>
      </w:r>
      <w:r>
        <w:rPr>
          <w:lang w:val="es-AR" w:eastAsia="es-AR" w:bidi="es-AR"/>
        </w:rPr>
        <w:t xml:space="preserve">(SCBA, "Compañía Financiera S.I.C. S.A. en liquidación (B.C.R.A.) s/Incidente de verificación de crédito de Colantonio, Carlos Hugo s/ Concurso preventivo",  LP C 97615 S 21/09/2011).</w:t>
      </w:r>
    </w:p>
    <w:p>
      <w:pPr>
        <w:pStyle w:val="[Normal]"/>
        <w:spacing w:line="480" w:lineRule="auto"/>
        <w:ind w:firstLine="1134"/>
        <w:jc w:val="both"/>
        <w:rPr>
          <w:lang w:val="es-AR" w:eastAsia="es-AR" w:bidi="es-AR"/>
        </w:rPr>
      </w:pPr>
      <w:r>
        <w:rPr>
          <w:lang w:val="es-AR" w:eastAsia="es-AR" w:bidi="es-AR"/>
        </w:rPr>
        <w:t xml:space="preserve">2) El segundo tema a abordar refiere a la normativa fondal que corresponde aplicar para decidir el plazo de prescripción y el comienzo del cómputo puesta en crisis por el quejoso, quien intenta la aplicación del art. 4033 del Cód. Civil controvirtiendo la norma aplicada por el aquo.</w:t>
      </w:r>
    </w:p>
    <w:p>
      <w:pPr>
        <w:pStyle w:val="[Normal]"/>
        <w:spacing w:line="480" w:lineRule="auto"/>
        <w:ind w:firstLine="1134"/>
        <w:jc w:val="both"/>
        <w:rPr>
          <w:color w:val="000000"/>
          <w:lang w:val="es-AR" w:eastAsia="es-AR" w:bidi="es-AR"/>
        </w:rPr>
      </w:pPr>
      <w:r>
        <w:rPr>
          <w:lang w:val="es-AR" w:eastAsia="es-AR" w:bidi="es-AR"/>
        </w:rPr>
        <w:t xml:space="preserve">Para ello habrá de partirse del art.7 del nuevo sistema normativo que prevé la eficacia temporal, estableciendo que a partir de su entrada en vigencia, las leyes se aplican a las consecuencias de las relaciones y situaciones jurídicas existentes, estableciendo la aplicabilidad inmediata y negando efecto retroactivo, consagrando el nuevo texto la excepción a la inaplicabilidad de las nuevas normas en los casos que enumera concretamente.  </w:t>
      </w:r>
      <w:r>
        <w:rPr>
          <w:color w:val="000000"/>
          <w:lang w:val="es-AR" w:eastAsia="es-AR" w:bidi="es-AR"/>
        </w:rPr>
        <w:t xml:space="preserve">Como señala la Dra. KEMELMAJER DE CARLUCCI, Aída, en "</w:t>
      </w:r>
      <w:r>
        <w:rPr>
          <w:i/>
          <w:color w:val="000000"/>
          <w:lang w:val="es-AR" w:eastAsia="es-AR" w:bidi="es-AR"/>
        </w:rPr>
        <w:t xml:space="preserve">La aplicación del Código Civil y Comercial a las relaciones y situaciones jurídicas existentes</w:t>
      </w:r>
      <w:r>
        <w:rPr>
          <w:color w:val="000000"/>
          <w:lang w:val="es-AR" w:eastAsia="es-AR" w:bidi="es-AR"/>
        </w:rPr>
        <w:t xml:space="preserve">, Rubinzal Culzoni Editores, ps. 100/101", la posición que ha adoptado -en algún caso- la cimera jurisdicción local (Sup. Corte Bs. As., 2/3/2011, ca. C 107.423, publ. en Cuadernos de Doctrina Legal, nro. III, ps. 19 y sigtes.), donde el Tribunal señalaba –memorando incluso sus precedentes anteriores- que “el art. 3 del Código Civil establece que las leyes valen a partir de su entrada en vigencia aún para las consecuencias de las relaciones y situaciones jurídicas existentes, es decir que consagra el principio de la aplicación inmediata de la legislación nueva que rige para los hechos que están en curso de desarrollo al tiempo de su sanción. </w:t>
      </w:r>
      <w:r>
        <w:rPr>
          <w:b/>
          <w:color w:val="000000"/>
          <w:lang w:val="es-AR" w:eastAsia="es-AR" w:bidi="es-AR"/>
        </w:rPr>
        <w:t xml:space="preserve"> </w:t>
      </w:r>
      <w:r>
        <w:rPr>
          <w:b/>
          <w:i/>
          <w:color w:val="000000"/>
          <w:lang w:val="es-AR" w:eastAsia="es-AR" w:bidi="es-AR"/>
        </w:rPr>
        <w:t xml:space="preserve">Empero la misma no resulta aplicable respecto de hechos consumados con anterioridad a su vigencia</w:t>
      </w:r>
      <w:r>
        <w:rPr>
          <w:b/>
          <w:color w:val="000000"/>
          <w:lang w:val="es-AR" w:eastAsia="es-AR" w:bidi="es-AR"/>
        </w:rPr>
        <w:t xml:space="preserve">”</w:t>
      </w:r>
      <w:r>
        <w:rPr>
          <w:color w:val="000000"/>
          <w:lang w:val="es-AR" w:eastAsia="es-AR" w:bidi="es-AR"/>
        </w:rPr>
        <w:t xml:space="preserve"> (el resaltado me pertenece).</w:t>
      </w:r>
    </w:p>
    <w:p>
      <w:pPr>
        <w:pStyle w:val="[Normal]"/>
        <w:spacing w:line="480" w:lineRule="auto"/>
        <w:ind w:firstLine="1134"/>
        <w:jc w:val="both"/>
        <w:rPr>
          <w:lang w:val="es-AR" w:eastAsia="es-AR" w:bidi="es-AR"/>
        </w:rPr>
      </w:pPr>
      <w:r>
        <w:rPr>
          <w:lang w:val="es-AR" w:eastAsia="es-AR" w:bidi="es-AR"/>
        </w:rPr>
        <w:t xml:space="preserve">La norma relativa a la prescripción, siguiendo a la misma autora, contemplada en el art. 2537 señala que ha sido recogida en varios pronunciamientos, decidiéndose "como regla, que el plazo de prescripción se rige por la ley vigente al momento en que comenzó a correr: por lo tanto, no se aplican los nuevos plazos si los del Código de Velez ya estaban vencidos al momento de la entrada en vigencia del CCyC.</w:t>
      </w:r>
    </w:p>
    <w:p>
      <w:pPr>
        <w:pStyle w:val="[Normal]"/>
        <w:spacing w:line="480" w:lineRule="auto"/>
        <w:ind w:firstLine="1134"/>
        <w:jc w:val="both"/>
        <w:rPr>
          <w:lang w:val="es-AR" w:eastAsia="es-AR" w:bidi="es-AR"/>
        </w:rPr>
      </w:pPr>
      <w:r>
        <w:rPr>
          <w:i/>
          <w:lang w:val="es-AR" w:eastAsia="es-AR" w:bidi="es-AR"/>
        </w:rPr>
        <w:t xml:space="preserve">"En síntesis, como regla general surge que el curso de la prescripción al momento de entrada en vigencia de una nueva ley, se rige por la ley anterior. La excepción a esa regla, en cuyo caso rige el plazo de la ley nueva contando desde su vigencia, se produce en el supuesto en que aplicado el plazo requerido por la ley anterior venciera más allá en el tiempo que el que resultase de la aplicación de la nueva ley contado desde su vigencia. Además, se ha establecido -expresamente -que si el plazo calculado a partir de la vigencia de la nueva ley vence antes del término contado según la ley anterior, se mantiene el plazo de la ley anterior"</w:t>
      </w:r>
      <w:r>
        <w:rPr>
          <w:lang w:val="es-AR" w:eastAsia="es-AR" w:bidi="es-AR"/>
        </w:rPr>
        <w:t xml:space="preserve"> cfr Lorenzetti Ricardo Luis "Código Civil y Comercial" pág. 247.</w:t>
      </w:r>
    </w:p>
    <w:p>
      <w:pPr>
        <w:pStyle w:val="[Normal]"/>
        <w:spacing w:line="480" w:lineRule="auto"/>
        <w:ind w:firstLine="1134"/>
        <w:jc w:val="both"/>
        <w:rPr>
          <w:lang w:val="es-AR" w:eastAsia="es-AR" w:bidi="es-AR"/>
        </w:rPr>
      </w:pPr>
      <w:r>
        <w:rPr>
          <w:lang w:val="es-AR" w:eastAsia="es-AR" w:bidi="es-AR"/>
        </w:rPr>
        <w:t xml:space="preserve">En la especie, y conforme el análisis señalado, se aplica el anterior plexo normativo (Código Civil Velez Sarfield) siendo necesario realizar algunas distinciones respecto de los plazos en juego: el de prescripción previsto por el art. 4030 del Cód. Civil de Velez Sarfield alude a la acción de nulidad de los actos jurídicos que prescribe a los dos años, como lo invoca el quejoso,  el mismo refiere al acto simulado y su posibilidad de accionar entre partes; asimismo se verifica  el plazo del art. 4033 del Cód. Civil, que prevé la acción de los acreedores para pedir la revocación de los actos celebrados por el deudor, en perjuicio o fraude de sus derechos, que se establece en un año, contado desde el día en que el acto tuvo lugar, o desde que los acreedores tuvieron noticia del hecho.  Como las dos acciones fueron interpuestas una de modo principal y otra subsidiaria, (combinadas), si se tomara el plazo mayor o sea el contemplado en el art. 4030 del CC, no cabe duda que el tiempo ha transcurrido con holgura, en tanto el inicio del cómputo de dicho plazo habrá de fijarse a partir de la fecha establecida en la sentencia de primera instancia, o la que ha evaluado atinadamente el aquo  a partir del 21/09/2012 , fecha en la cual se registrara y publicitara la donación efectuada por el deudor del reclamante en favor de sus hijos menores, recalcándose que la funcionalidad de la inscripción radica en la publicidad y oponibilidad respecto de terceros.-</w:t>
      </w:r>
    </w:p>
    <w:p>
      <w:pPr>
        <w:pStyle w:val="[Normal]"/>
        <w:spacing w:line="480" w:lineRule="auto"/>
        <w:ind w:firstLine="1134"/>
        <w:jc w:val="both"/>
        <w:rPr>
          <w:lang w:val="es-AR" w:eastAsia="es-AR" w:bidi="es-AR"/>
        </w:rPr>
      </w:pPr>
      <w:r>
        <w:rPr>
          <w:lang w:val="es-AR" w:eastAsia="es-AR" w:bidi="es-AR"/>
        </w:rPr>
        <w:t xml:space="preserve">Más tiempo aún habrá transcurrido si se cuenta desde la aplicación prevista en el art. 4033 Cód. Civil que prevé un año.</w:t>
      </w:r>
    </w:p>
    <w:p>
      <w:pPr>
        <w:pStyle w:val="[Normal]"/>
        <w:spacing w:line="480" w:lineRule="auto"/>
        <w:ind w:firstLine="1134"/>
        <w:jc w:val="both"/>
        <w:rPr>
          <w:lang w:val="es-AR" w:eastAsia="es-AR" w:bidi="es-AR"/>
        </w:rPr>
      </w:pPr>
      <w:r>
        <w:rPr>
          <w:lang w:val="es-AR" w:eastAsia="es-AR" w:bidi="es-AR"/>
        </w:rPr>
        <w:t xml:space="preserve">Si este es el efecto que confiere la inscripción ciertamente el actor tuvo la posibilidad de conocimiento que la norma hoy exige para dar comienzo al cómputo del plazo y contando desde aquella fecha al día de presentación de la demanda (16/08/2016) ciertamente el plazo ha transcurrido.  La brevedad del mismo se funda en la necesidad de dar seguridad jurídica a los actos y derechos que de ellos emanan, es la estabilidad requiere de plazos breves para el saneamiento y consolidación de situaciones de incerteza. Cfr. Aída Kemelmajer de Carlucci, Claudio Kiper y Félix Trigo Represas "Código Civil Comentado" Editorial Rubinzal-Culzoni.</w:t>
      </w:r>
    </w:p>
    <w:p>
      <w:pPr>
        <w:pStyle w:val="[Normal]"/>
        <w:spacing w:line="480" w:lineRule="auto"/>
        <w:ind w:firstLine="1134"/>
        <w:jc w:val="both"/>
        <w:rPr>
          <w:lang w:val="es-AR" w:eastAsia="es-AR" w:bidi="es-AR"/>
        </w:rPr>
      </w:pPr>
      <w:r>
        <w:rPr>
          <w:lang w:val="es-AR" w:eastAsia="es-AR" w:bidi="es-AR"/>
        </w:rPr>
        <w:t xml:space="preserve">En el mismo sentido se expide la Sra. Asesora de Incapaces en su dictamen de fs. 398.</w:t>
      </w:r>
    </w:p>
    <w:p>
      <w:pPr>
        <w:pStyle w:val="[Normal]"/>
        <w:spacing w:line="48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480" w:lineRule="auto"/>
        <w:ind w:firstLine="1134"/>
        <w:jc w:val="both"/>
        <w:rPr>
          <w:lang w:val="es-AR" w:eastAsia="es-AR" w:bidi="es-AR"/>
        </w:rPr>
      </w:pPr>
      <w:r>
        <w:rPr>
          <w:lang w:val="es-AR" w:eastAsia="es-AR" w:bidi="es-AR"/>
        </w:rPr>
        <w:t xml:space="preserve">VOTO POR LA  AFIRMATIVA.</w:t>
      </w:r>
    </w:p>
    <w:p>
      <w:pPr>
        <w:pStyle w:val="[Normal]"/>
        <w:spacing w:line="480" w:lineRule="auto"/>
        <w:ind w:firstLine="1134"/>
        <w:jc w:val="both"/>
        <w:rPr>
          <w:lang w:val="es-AR" w:eastAsia="es-AR" w:bidi="es-AR"/>
        </w:rPr>
      </w:pPr>
      <w:r>
        <w:rPr>
          <w:lang w:val="es-AR" w:eastAsia="es-AR" w:bidi="es-AR"/>
        </w:rPr>
        <w:t xml:space="preserve">A la misma cuestión el señor Juez </w:t>
      </w:r>
      <w:r>
        <w:rPr>
          <w:color w:val="000000"/>
          <w:lang w:val="es-AR" w:eastAsia="es-AR" w:bidi="es-AR"/>
        </w:rPr>
        <w:t xml:space="preserve">Roberto Degleue</w:t>
      </w:r>
      <w:r>
        <w:rPr>
          <w:lang w:val="es-AR" w:eastAsia="es-AR" w:bidi="es-AR"/>
        </w:rPr>
        <w:t xml:space="preserve"> por análogos fundamentos votó en el mismo sentido.-</w:t>
      </w:r>
    </w:p>
    <w:p>
      <w:pPr>
        <w:pStyle w:val="[Normal]"/>
        <w:spacing w:line="480" w:lineRule="auto"/>
        <w:ind w:firstLine="1134"/>
        <w:jc w:val="both"/>
        <w:rPr>
          <w:lang w:val="es-AR" w:eastAsia="es-AR" w:bidi="es-AR"/>
        </w:rPr>
      </w:pPr>
      <w:r>
        <w:rPr>
          <w:lang w:val="es-AR" w:eastAsia="es-AR" w:bidi="es-AR"/>
        </w:rPr>
        <w:t xml:space="preserve">A la segunda cuestión la señora Jueza </w:t>
      </w:r>
      <w:r>
        <w:rPr>
          <w:color w:val="000000"/>
          <w:lang w:val="es-AR" w:eastAsia="es-AR" w:bidi="es-AR"/>
        </w:rPr>
        <w:t xml:space="preserve">Graciela Scaraffia</w:t>
      </w:r>
      <w:r>
        <w:rPr>
          <w:lang w:val="es-AR" w:eastAsia="es-AR" w:bidi="es-AR"/>
        </w:rPr>
        <w:t xml:space="preserve"> dijo: de conformidad al resultado habido al tratarse la cuestión precedente, estimo que el pronunciamiento que corresponde dictar es: </w:t>
      </w:r>
    </w:p>
    <w:p>
      <w:pPr>
        <w:pStyle w:val="[Normal]"/>
        <w:spacing w:line="480" w:lineRule="auto"/>
        <w:ind w:firstLine="1134"/>
        <w:jc w:val="both"/>
        <w:rPr>
          <w:lang w:val="es-AR" w:eastAsia="es-AR" w:bidi="es-AR"/>
        </w:rPr>
      </w:pPr>
      <w:r>
        <w:rPr>
          <w:lang w:val="es-AR" w:eastAsia="es-AR" w:bidi="es-AR"/>
        </w:rPr>
        <w:t xml:space="preserve">Desestimar el recurso de apelación traído, y por los fundamentos aquí vertidos, confirmar el rechazo de la demanda incoada por Ricardo Omar Gómez por simulación y acción revocatoria contra Néstor Hugo Gómez, Claudia Betina Gregoratti, Tomás y Joaquín Gómez.-</w:t>
      </w:r>
    </w:p>
    <w:p>
      <w:pPr>
        <w:pStyle w:val="[Normal]"/>
        <w:spacing w:line="480" w:lineRule="auto"/>
        <w:ind w:firstLine="1134"/>
        <w:jc w:val="both"/>
        <w:rPr>
          <w:lang w:val="es-AR" w:eastAsia="es-AR" w:bidi="es-AR"/>
        </w:rPr>
      </w:pPr>
      <w:r>
        <w:rPr>
          <w:lang w:val="es-AR" w:eastAsia="es-AR" w:bidi="es-AR"/>
        </w:rPr>
        <w:t xml:space="preserve">Costas al apelante devinto (art. 68 del CPCC).</w:t>
      </w:r>
    </w:p>
    <w:p>
      <w:pPr>
        <w:pStyle w:val="[Normal]"/>
        <w:spacing w:line="480" w:lineRule="auto"/>
        <w:ind w:firstLine="1134"/>
        <w:jc w:val="both"/>
        <w:rPr>
          <w:lang w:val="es-AR" w:eastAsia="es-AR" w:bidi="es-AR"/>
        </w:rPr>
      </w:pPr>
      <w:r>
        <w:rPr>
          <w:lang w:val="es-AR" w:eastAsia="es-AR" w:bidi="es-AR"/>
        </w:rPr>
        <w:t xml:space="preserve">Diferir la regulación de honorarios de Alzada hasta tanto medie regulación de primera instancia.-</w:t>
      </w:r>
    </w:p>
    <w:p>
      <w:pPr>
        <w:pStyle w:val="[Normal]"/>
        <w:spacing w:line="480" w:lineRule="auto"/>
        <w:ind w:firstLine="1134"/>
        <w:jc w:val="both"/>
        <w:rPr>
          <w:lang w:val="es-AR" w:eastAsia="es-AR" w:bidi="es-AR"/>
        </w:rPr>
      </w:pPr>
      <w:r>
        <w:rPr>
          <w:lang w:val="es-AR" w:eastAsia="es-AR" w:bidi="es-AR"/>
        </w:rPr>
        <w:t xml:space="preserve">Notifiquese a las partes, a la abogada del niño y a la Sra. Asesora de Incapaces en su público despacho.</w:t>
      </w:r>
    </w:p>
    <w:p>
      <w:pPr>
        <w:pStyle w:val="[Normal]"/>
        <w:spacing w:line="480" w:lineRule="auto"/>
        <w:ind w:firstLine="1134"/>
        <w:jc w:val="both"/>
        <w:rPr>
          <w:lang w:val="es-AR" w:eastAsia="es-AR" w:bidi="es-AR"/>
        </w:rPr>
      </w:pPr>
      <w:r>
        <w:rPr>
          <w:lang w:val="es-AR" w:eastAsia="es-AR" w:bidi="es-AR"/>
        </w:rPr>
        <w:t xml:space="preserve">ASI LO VOTO. </w:t>
      </w:r>
    </w:p>
    <w:p>
      <w:pPr>
        <w:pStyle w:val="[Normal]"/>
        <w:spacing w:line="480" w:lineRule="auto"/>
        <w:ind w:firstLine="1134"/>
        <w:jc w:val="both"/>
        <w:rPr>
          <w:lang w:val="es-AR" w:eastAsia="es-AR" w:bidi="es-AR"/>
        </w:rPr>
      </w:pPr>
      <w:r>
        <w:rPr>
          <w:lang w:val="es-AR" w:eastAsia="es-AR" w:bidi="es-AR"/>
        </w:rPr>
        <w:t xml:space="preserve">A la misma cuestión el señor Juez </w:t>
      </w:r>
      <w:r>
        <w:rPr>
          <w:color w:val="000000"/>
          <w:lang w:val="es-AR" w:eastAsia="es-AR" w:bidi="es-AR"/>
        </w:rPr>
        <w:t xml:space="preserve">Roberto Degleue</w:t>
      </w:r>
      <w:r>
        <w:rPr>
          <w:lang w:val="es-AR" w:eastAsia="es-AR" w:bidi="es-AR"/>
        </w:rPr>
        <w:t xml:space="preserve"> por análogos fundamentos votó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b/>
          <w:u w:val="single"/>
          <w:lang w:val="es-AR" w:eastAsia="es-AR" w:bidi="es-AR"/>
        </w:rPr>
      </w:pPr>
      <w:r>
        <w:rPr>
          <w:b/>
          <w:u w:val="single"/>
          <w:lang w:val="es-AR" w:eastAsia="es-AR" w:bidi="es-AR"/>
        </w:rPr>
        <w:t xml:space="preserve">S E N T E N C I A:</w:t>
      </w:r>
    </w:p>
    <w:p>
      <w:pPr>
        <w:pStyle w:val="[Normal]"/>
        <w:spacing w:line="480" w:lineRule="auto"/>
        <w:ind w:firstLine="1134"/>
        <w:jc w:val="both"/>
        <w:rPr>
          <w:lang w:val="es-AR" w:eastAsia="es-AR" w:bidi="es-AR"/>
        </w:rPr>
      </w:pPr>
      <w:r>
        <w:rPr>
          <w:lang w:val="es-AR" w:eastAsia="es-AR" w:bidi="es-AR"/>
        </w:rPr>
        <w:t xml:space="preserve">Desestimar el recurso de apelación traído, y por los fundamentos aquí vertidos, confirmar el rechazo de la demanda incoada por Ricardo Omar Gómez por simulación y acción revocatoria contra Néstor Hugo Gómez, Claudia Betina Gregoratti, Tomás y Joaquín Gómez.-</w:t>
      </w:r>
    </w:p>
    <w:p>
      <w:pPr>
        <w:pStyle w:val="[Normal]"/>
        <w:spacing w:line="480" w:lineRule="auto"/>
        <w:ind w:firstLine="1134"/>
        <w:jc w:val="both"/>
        <w:rPr>
          <w:lang w:val="es-AR" w:eastAsia="es-AR" w:bidi="es-AR"/>
        </w:rPr>
      </w:pPr>
      <w:r>
        <w:rPr>
          <w:lang w:val="es-AR" w:eastAsia="es-AR" w:bidi="es-AR"/>
        </w:rPr>
        <w:t xml:space="preserve">Costas al apelante devinto (art. 68 del CPCC).</w:t>
      </w:r>
    </w:p>
    <w:p>
      <w:pPr>
        <w:pStyle w:val="[Normal]"/>
        <w:spacing w:line="480" w:lineRule="auto"/>
        <w:ind w:firstLine="1134"/>
        <w:jc w:val="both"/>
        <w:rPr>
          <w:lang w:val="es-AR" w:eastAsia="es-AR" w:bidi="es-AR"/>
        </w:rPr>
      </w:pPr>
      <w:r>
        <w:rPr>
          <w:lang w:val="es-AR" w:eastAsia="es-AR" w:bidi="es-AR"/>
        </w:rPr>
        <w:t xml:space="preserve">Diferir la regulación de honorarios de Alzada hasta tanto medie regulación de primera instancia.-</w:t>
      </w:r>
    </w:p>
    <w:p>
      <w:pPr>
        <w:pStyle w:val="[Normal]"/>
        <w:spacing w:line="480" w:lineRule="auto"/>
        <w:ind w:firstLine="1134"/>
        <w:jc w:val="both"/>
        <w:rPr>
          <w:lang w:val="es-AR" w:eastAsia="es-AR" w:bidi="es-AR"/>
        </w:rPr>
      </w:pPr>
      <w:r>
        <w:rPr>
          <w:lang w:val="es-AR" w:eastAsia="es-AR" w:bidi="es-AR"/>
        </w:rPr>
        <w:t xml:space="preserve">Notifiquese a la abogada del niño y a la Sra Asesora de Incapaces en su público despacho.</w:t>
      </w:r>
    </w:p>
    <w:p>
      <w:pPr>
        <w:pStyle w:val="[Normal]"/>
        <w:spacing w:line="480" w:lineRule="auto"/>
        <w:ind w:firstLine="1134"/>
        <w:jc w:val="both"/>
        <w:rPr>
          <w:lang w:val="es-AR" w:eastAsia="es-AR" w:bidi="es-AR"/>
        </w:rPr>
      </w:pPr>
      <w:r>
        <w:rPr>
          <w:lang w:val="es-AR" w:eastAsia="es-AR" w:bidi="es-AR"/>
        </w:rPr>
        <w:t xml:space="preserve">Regístrese. Notifíquese. Devuélvase.-</w:t>
      </w:r>
    </w:p>
    <w:p>
      <w:pPr>
        <w:pStyle w:val="[Normal]"/>
        <w:ind w:firstLine="1134"/>
        <w:jc w:val="both"/>
        <w:rPr>
          <w:b/>
          <w:color w:val="000000"/>
          <w:sz w:val="18"/>
          <w:lang w:val="es-AR" w:eastAsia="es-AR" w:bidi="es-AR"/>
        </w:rPr>
      </w:pPr>
    </w:p>
    <w:p>
      <w:pPr>
        <w:pStyle w:val="[Normal]"/>
        <w:ind w:firstLine="1134"/>
        <w:jc w:val="both"/>
        <w:rPr>
          <w:b/>
          <w:color w:val="000000"/>
          <w:sz w:val="18"/>
          <w:lang w:val="es-AR" w:eastAsia="es-AR" w:bidi="es-AR"/>
        </w:rPr>
      </w:pPr>
    </w:p>
    <w:p>
      <w:pPr>
        <w:pStyle w:val="[Normal]"/>
        <w:ind w:firstLine="1134"/>
        <w:jc w:val="both"/>
        <w:rPr>
          <w:b/>
          <w:color w:val="000000"/>
          <w:sz w:val="18"/>
          <w:lang w:val="es-AR" w:eastAsia="es-AR" w:bidi="es-AR"/>
        </w:rPr>
      </w:pPr>
    </w:p>
    <w:p>
      <w:pPr>
        <w:pStyle w:val="[Normal]"/>
        <w:ind w:firstLine="1134"/>
        <w:jc w:val="center"/>
        <w:rPr>
          <w:b/>
          <w:color w:val="000000"/>
          <w:sz w:val="18"/>
          <w:lang w:val="es-AR" w:eastAsia="es-AR" w:bidi="es-AR"/>
        </w:rPr>
      </w:pPr>
      <w:r>
        <w:rPr>
          <w:b/>
          <w:color w:val="000000"/>
          <w:sz w:val="18"/>
          <w:lang w:val="es-AR" w:eastAsia="es-AR" w:bidi="es-AR"/>
        </w:rPr>
        <w:t xml:space="preserve">Roberto Manuel Degleue</w:t>
      </w:r>
    </w:p>
    <w:p>
      <w:pPr>
        <w:pStyle w:val="[Normal]"/>
        <w:ind w:firstLine="1134"/>
        <w:jc w:val="center"/>
        <w:rPr>
          <w:b/>
          <w:color w:val="000000"/>
          <w:sz w:val="18"/>
          <w:lang w:val="es-AR" w:eastAsia="es-AR" w:bidi="es-AR"/>
        </w:rPr>
      </w:pPr>
      <w:r>
        <w:rPr>
          <w:b/>
          <w:color w:val="000000"/>
          <w:sz w:val="18"/>
          <w:lang w:val="es-AR" w:eastAsia="es-AR" w:bidi="es-AR"/>
        </w:rPr>
        <w:t xml:space="preserve">Presidente</w:t>
      </w:r>
    </w:p>
    <w:p>
      <w:pPr>
        <w:pStyle w:val="[Normal]"/>
        <w:ind w:firstLine="1134"/>
        <w:jc w:val="center"/>
        <w:rPr>
          <w:b/>
          <w:color w:val="000000"/>
          <w:sz w:val="18"/>
          <w:lang w:val="es-AR" w:eastAsia="es-AR" w:bidi="es-AR"/>
        </w:rPr>
      </w:pPr>
      <w:r>
        <w:rPr>
          <w:b/>
          <w:color w:val="000000"/>
          <w:sz w:val="18"/>
          <w:lang w:val="es-AR" w:eastAsia="es-AR" w:bidi="es-AR"/>
        </w:rPr>
        <w:t xml:space="preserve">Cámara de Apelación  en lo Civil y Comercial </w:t>
      </w:r>
    </w:p>
    <w:p>
      <w:pPr>
        <w:pStyle w:val="[Normal]"/>
        <w:ind w:firstLine="1134"/>
        <w:jc w:val="center"/>
        <w:rPr>
          <w:b/>
          <w:color w:val="000000"/>
          <w:sz w:val="18"/>
          <w:lang w:val="es-AR" w:eastAsia="es-AR" w:bidi="es-AR"/>
        </w:rPr>
      </w:pPr>
      <w:r>
        <w:rPr>
          <w:b/>
          <w:color w:val="000000"/>
          <w:sz w:val="18"/>
          <w:lang w:val="es-AR" w:eastAsia="es-AR" w:bidi="es-AR"/>
        </w:rPr>
        <w:t xml:space="preserve">Dpto. Judicial Pergamino </w:t>
      </w:r>
    </w:p>
    <w:p>
      <w:pPr>
        <w:pStyle w:val="[Normal]"/>
        <w:ind w:firstLine="1134"/>
        <w:jc w:val="both"/>
        <w:rPr>
          <w:b/>
          <w:color w:val="000000"/>
          <w:sz w:val="18"/>
          <w:lang w:val="es-AR" w:eastAsia="es-AR" w:bidi="es-AR"/>
        </w:rPr>
      </w:pPr>
    </w:p>
    <w:p>
      <w:pPr>
        <w:pStyle w:val="[Normal]"/>
        <w:ind w:firstLine="1134"/>
        <w:jc w:val="both"/>
        <w:rPr>
          <w:b/>
          <w:color w:val="000000"/>
          <w:sz w:val="18"/>
          <w:lang w:val="es-AR" w:eastAsia="es-AR" w:bidi="es-AR"/>
        </w:rPr>
      </w:pPr>
    </w:p>
    <w:p>
      <w:pPr>
        <w:pStyle w:val="[Normal]"/>
        <w:ind w:firstLine="1134"/>
        <w:jc w:val="both"/>
        <w:rPr>
          <w:b/>
          <w:color w:val="000000"/>
          <w:sz w:val="18"/>
          <w:lang w:val="es-AR" w:eastAsia="es-AR" w:bidi="es-AR"/>
        </w:rPr>
      </w:pPr>
    </w:p>
    <w:p>
      <w:pPr>
        <w:pStyle w:val="[Normal]"/>
        <w:ind w:firstLine="1134"/>
        <w:jc w:val="both"/>
        <w:rPr>
          <w:b/>
          <w:color w:val="000000"/>
          <w:sz w:val="18"/>
          <w:lang w:val="es-AR" w:eastAsia="es-AR" w:bidi="es-AR"/>
        </w:rPr>
      </w:pPr>
    </w:p>
    <w:p>
      <w:pPr>
        <w:pStyle w:val="[Normal]"/>
        <w:ind w:firstLine="1134"/>
        <w:jc w:val="both"/>
        <w:rPr>
          <w:b/>
          <w:color w:val="000000"/>
          <w:sz w:val="18"/>
          <w:lang w:val="es-AR" w:eastAsia="es-AR" w:bidi="es-AR"/>
        </w:rPr>
      </w:pPr>
    </w:p>
    <w:p>
      <w:pPr>
        <w:pStyle w:val="[Normal]"/>
        <w:ind w:firstLine="1134"/>
        <w:jc w:val="both"/>
        <w:rPr>
          <w:b/>
          <w:color w:val="000000"/>
          <w:sz w:val="18"/>
          <w:lang w:val="es-AR" w:eastAsia="es-AR" w:bidi="es-AR"/>
        </w:rPr>
      </w:pPr>
      <w:r>
        <w:rPr>
          <w:b/>
          <w:color w:val="000000"/>
          <w:sz w:val="18"/>
          <w:lang w:val="es-AR" w:eastAsia="es-AR" w:bidi="es-AR"/>
        </w:rPr>
        <w:t xml:space="preserve">Graciela Scaraffia</w:t>
      </w:r>
    </w:p>
    <w:p>
      <w:pPr>
        <w:pStyle w:val="[Normal]"/>
        <w:ind w:firstLine="1134"/>
        <w:jc w:val="both"/>
        <w:rPr>
          <w:b/>
          <w:color w:val="000000"/>
          <w:sz w:val="18"/>
          <w:lang w:val="es-AR" w:eastAsia="es-AR" w:bidi="es-AR"/>
        </w:rPr>
      </w:pPr>
      <w:r>
        <w:rPr>
          <w:b/>
          <w:color w:val="000000"/>
          <w:sz w:val="18"/>
          <w:lang w:val="es-AR" w:eastAsia="es-AR" w:bidi="es-AR"/>
        </w:rPr>
        <w:t xml:space="preserve">         Jueza</w:t>
      </w:r>
    </w:p>
    <w:p>
      <w:pPr>
        <w:pStyle w:val="[Normal]"/>
        <w:ind w:firstLine="1134"/>
        <w:jc w:val="both"/>
        <w:rPr>
          <w:b/>
          <w:color w:val="000000"/>
          <w:sz w:val="18"/>
          <w:lang w:val="es-AR" w:eastAsia="es-AR" w:bidi="es-AR"/>
        </w:rPr>
      </w:pPr>
    </w:p>
    <w:p>
      <w:pPr>
        <w:pStyle w:val="[Normal]"/>
        <w:ind w:firstLine="1134"/>
        <w:jc w:val="both"/>
        <w:rPr>
          <w:b/>
          <w:color w:val="000000"/>
          <w:sz w:val="18"/>
          <w:lang w:val="es-AR" w:eastAsia="es-AR" w:bidi="es-AR"/>
        </w:rPr>
      </w:pPr>
    </w:p>
    <w:p>
      <w:pPr>
        <w:pStyle w:val="[Normal]"/>
        <w:ind w:firstLine="1134"/>
        <w:jc w:val="both"/>
        <w:rPr>
          <w:b/>
          <w:color w:val="000000"/>
          <w:sz w:val="18"/>
          <w:lang w:val="es-AR" w:eastAsia="es-AR" w:bidi="es-AR"/>
        </w:rPr>
      </w:pPr>
    </w:p>
    <w:p>
      <w:pPr>
        <w:pStyle w:val="[Normal]"/>
        <w:ind w:firstLine="1134"/>
        <w:jc w:val="both"/>
        <w:rPr>
          <w:b/>
          <w:color w:val="000000"/>
          <w:sz w:val="18"/>
          <w:lang w:val="es-AR" w:eastAsia="es-AR" w:bidi="es-AR"/>
        </w:rPr>
      </w:pPr>
    </w:p>
    <w:p>
      <w:pPr>
        <w:pStyle w:val="[Normal]"/>
        <w:ind w:firstLine="1134"/>
        <w:jc w:val="both"/>
        <w:rPr>
          <w:b/>
          <w:color w:val="000000"/>
          <w:sz w:val="18"/>
          <w:lang w:val="es-AR" w:eastAsia="es-AR" w:bidi="es-AR"/>
        </w:rPr>
      </w:pPr>
    </w:p>
    <w:p>
      <w:pPr>
        <w:pStyle w:val="[Normal]"/>
        <w:ind w:firstLine="1134"/>
        <w:jc w:val="center"/>
        <w:rPr>
          <w:b/>
          <w:color w:val="000000"/>
          <w:sz w:val="18"/>
          <w:lang w:val="es-AR" w:eastAsia="es-AR" w:bidi="es-AR"/>
        </w:rPr>
      </w:pPr>
      <w:r>
        <w:rPr>
          <w:b/>
          <w:color w:val="000000"/>
          <w:sz w:val="18"/>
          <w:lang w:val="es-AR" w:eastAsia="es-AR" w:bidi="es-AR"/>
        </w:rPr>
        <w:t xml:space="preserve">Luis María Bianco</w:t>
      </w:r>
    </w:p>
    <w:p>
      <w:pPr>
        <w:pStyle w:val="[Normal]"/>
        <w:ind w:firstLine="1134"/>
        <w:jc w:val="center"/>
        <w:rPr>
          <w:color w:val="000000"/>
          <w:lang w:val="es-AR" w:eastAsia="es-AR" w:bidi="es-AR"/>
        </w:rPr>
      </w:pPr>
      <w:r>
        <w:rPr>
          <w:b/>
          <w:color w:val="000000"/>
          <w:sz w:val="18"/>
          <w:lang w:val="es-AR" w:eastAsia="es-AR" w:bidi="es-AR"/>
        </w:rPr>
        <w:t xml:space="preserve">Auxiliar Letrado</w:t>
      </w:r>
    </w:p>
    <w:p>
      <w:pPr>
        <w:pStyle w:val="[Normal]"/>
        <w:rPr>
          <w:color w:val="000000"/>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