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Registro N°  88  /</w:t>
      </w:r>
      <w:r>
        <w:rPr>
          <w:b/>
          <w:color w:val="000000"/>
          <w:lang w:val="es-AR" w:eastAsia="es-AR" w:bidi="es-AR"/>
        </w:rPr>
        <w:t xml:space="preserve">2019</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562/565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16 de julio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3498-18</w:t>
      </w:r>
      <w:r>
        <w:rPr>
          <w:lang w:val="es-AR" w:eastAsia="es-AR" w:bidi="es-AR"/>
        </w:rPr>
        <w:t xml:space="preserve"> caratulada </w:t>
      </w:r>
      <w:r>
        <w:rPr>
          <w:b/>
          <w:lang w:val="es-AR" w:eastAsia="es-AR" w:bidi="es-AR"/>
        </w:rPr>
        <w:t xml:space="preserve">"</w:t>
      </w:r>
      <w:r>
        <w:rPr>
          <w:b/>
          <w:color w:val="000000"/>
          <w:lang w:val="es-AR" w:eastAsia="es-AR" w:bidi="es-AR"/>
        </w:rPr>
        <w:t xml:space="preserve">GALVAN NORMA ADRIANA C/ BOGADO LUIS ANTONIO Y OTROS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81.200</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w:t>
      </w:r>
      <w:r>
        <w:rPr>
          <w:color w:val="000000"/>
          <w:lang w:val="es-AR" w:eastAsia="es-AR" w:bidi="es-AR"/>
        </w:rPr>
        <w:t xml:space="preserve">Graciela Scaraffia y Roberto Degleue</w:t>
      </w:r>
      <w:r>
        <w:rPr>
          <w:lang w:val="es-AR" w:eastAsia="es-AR" w:bidi="es-AR"/>
        </w:rPr>
        <w:t xml:space="preserve">, y estudiados los autos se resolvió plantear y votar las siguientes: </w:t>
      </w:r>
    </w:p>
    <w:p>
      <w:pPr>
        <w:pStyle w:val="[Normal]"/>
        <w:spacing w:line="480" w:lineRule="auto"/>
        <w:ind w:firstLine="1134"/>
        <w:jc w:val="both"/>
        <w:rPr>
          <w:lang w:val="es-AR" w:eastAsia="es-AR" w:bidi="es-AR"/>
        </w:rPr>
      </w:pPr>
      <w:r>
        <w:rPr>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la señora Jueza </w:t>
      </w:r>
      <w:r>
        <w:rPr>
          <w:color w:val="000000"/>
          <w:lang w:val="es-AR" w:eastAsia="es-AR" w:bidi="es-AR"/>
        </w:rPr>
        <w:t xml:space="preserve">Graciela Scaraffia</w:t>
      </w:r>
      <w:r>
        <w:rPr>
          <w:lang w:val="es-AR" w:eastAsia="es-AR" w:bidi="es-AR"/>
        </w:rPr>
        <w:t xml:space="preserve"> dijo:</w:t>
      </w:r>
    </w:p>
    <w:p>
      <w:pPr>
        <w:pStyle w:val="[Normal]"/>
        <w:spacing w:line="480" w:lineRule="auto"/>
        <w:ind w:firstLine="1134"/>
        <w:jc w:val="both"/>
        <w:rPr>
          <w:color w:val="000000"/>
          <w:lang w:val="es-AR" w:eastAsia="es-AR" w:bidi="es-AR"/>
        </w:rPr>
      </w:pPr>
      <w:r>
        <w:rPr>
          <w:lang w:val="es-AR" w:eastAsia="es-AR" w:bidi="es-AR"/>
        </w:rPr>
        <w:t xml:space="preserve">El Sr. Juez de la anterior instancia r</w:t>
      </w:r>
      <w:r>
        <w:rPr>
          <w:color w:val="000000"/>
          <w:lang w:val="es-AR" w:eastAsia="es-AR" w:bidi="es-AR"/>
        </w:rPr>
        <w:t xml:space="preserve">echazó la demanda entablada por Norma Adriana Galván. Con costas a su cargo, a cuyos efectos, tomando como pauta arancelaria el monto de la demanda, reguló los honorarios profesionales de los letrados intervinientes Dres. Juliana Labaronnie y Romina P. Pirchi. </w:t>
      </w:r>
    </w:p>
    <w:p>
      <w:pPr>
        <w:pStyle w:val="[Normal]"/>
        <w:spacing w:line="480" w:lineRule="auto"/>
        <w:ind w:firstLine="1134"/>
        <w:jc w:val="both"/>
        <w:rPr>
          <w:lang w:val="es-AR" w:eastAsia="es-AR" w:bidi="es-AR"/>
        </w:rPr>
      </w:pPr>
      <w:r>
        <w:rPr>
          <w:color w:val="000000"/>
          <w:lang w:val="es-AR" w:eastAsia="es-AR" w:bidi="es-AR"/>
        </w:rPr>
        <w:t xml:space="preserve">Estableció los del  Perito Mecánico Eduardo Murphy y  Perito Médica Marcela Polizzi e intimó a los obligados al pago  bajo apercibimiento de ejecución.--</w:t>
      </w:r>
    </w:p>
    <w:p>
      <w:pPr>
        <w:pStyle w:val="[Normal]"/>
        <w:spacing w:line="480" w:lineRule="auto"/>
        <w:ind w:firstLine="1134"/>
        <w:jc w:val="both"/>
        <w:rPr>
          <w:lang w:val="es-AR" w:eastAsia="es-AR" w:bidi="es-AR"/>
        </w:rPr>
      </w:pPr>
      <w:r>
        <w:rPr>
          <w:lang w:val="es-AR" w:eastAsia="es-AR" w:bidi="es-AR"/>
        </w:rPr>
        <w:t xml:space="preserve">Tal decisorio fue objeto del recurso de apelación interpuesto por la actora a fs. 96, concedido libremente a fs. 97 y fundado a fs. 108/110. Conferido el traslado pertinente, es contestado únicamente por la citada en garantía mediante presentación electrónica de fecha 22/03/19, no habiendo la demandada evacuado el mismo. A fs. 112 se llama autos para dictar sentencia, providencia que firme a la fecha deja la causa en condiciones de ser fallada.-</w:t>
      </w:r>
    </w:p>
    <w:p>
      <w:pPr>
        <w:pStyle w:val="[Normal]"/>
        <w:spacing w:line="480" w:lineRule="auto"/>
        <w:ind w:firstLine="1134"/>
        <w:jc w:val="both"/>
        <w:rPr>
          <w:lang w:val="es-AR" w:eastAsia="es-AR" w:bidi="es-AR"/>
        </w:rPr>
      </w:pPr>
      <w:r>
        <w:rPr>
          <w:lang w:val="es-AR" w:eastAsia="es-AR" w:bidi="es-AR"/>
        </w:rPr>
        <w:t xml:space="preserve">La actora se duele del decisorio de grado sosteniendo que de su parte no hubo culpa, en tanto dice que como resaltó "en el escrito de demanda al llegar su parte a la encrucijada, frena, mira (sic) y es cruzando la bocacalle donde el camión de mayor volumen se le viene encima", señalando "que es el conductor del camión quien no domina el mismo".</w:t>
      </w:r>
    </w:p>
    <w:p>
      <w:pPr>
        <w:pStyle w:val="[Normal]"/>
        <w:spacing w:line="480" w:lineRule="auto"/>
        <w:ind w:firstLine="1134"/>
        <w:jc w:val="both"/>
        <w:rPr>
          <w:lang w:val="es-AR" w:eastAsia="es-AR" w:bidi="es-AR"/>
        </w:rPr>
      </w:pPr>
      <w:r>
        <w:rPr>
          <w:lang w:val="es-AR" w:eastAsia="es-AR" w:bidi="es-AR"/>
        </w:rPr>
        <w:t xml:space="preserve">Expresa que "si bien la prioridad de paso es absoluta" no se debe olvidar "las excepciones a dicha regla contenida en el art. 41 inc. g) apartado 3 de la ley 24.449", con cita de fallos.</w:t>
      </w:r>
    </w:p>
    <w:p>
      <w:pPr>
        <w:pStyle w:val="[Normal]"/>
        <w:spacing w:line="480" w:lineRule="auto"/>
        <w:ind w:firstLine="1134"/>
        <w:jc w:val="both"/>
        <w:rPr>
          <w:lang w:val="es-AR" w:eastAsia="es-AR" w:bidi="es-AR"/>
        </w:rPr>
      </w:pPr>
      <w:r>
        <w:rPr>
          <w:lang w:val="es-AR" w:eastAsia="es-AR" w:bidi="es-AR"/>
        </w:rPr>
        <w:t xml:space="preserve">Como segundo punto señala que no se evaluó que el rodado de mayor volumen debería haber circulado con mayor precaución debido a la peligrosidad independientemente de la velocidad que recorriera, señalando que existe en la presente una cocausalidad en el siniestro.  El demandado pide deserción del recurso.</w:t>
      </w:r>
    </w:p>
    <w:p>
      <w:pPr>
        <w:pStyle w:val="[Normal]"/>
        <w:spacing w:line="480" w:lineRule="auto"/>
        <w:ind w:firstLine="1134"/>
        <w:jc w:val="both"/>
        <w:rPr>
          <w:lang w:val="es-AR" w:eastAsia="es-AR" w:bidi="es-AR"/>
        </w:rPr>
      </w:pPr>
      <w:r>
        <w:rPr>
          <w:lang w:val="es-AR" w:eastAsia="es-AR" w:bidi="es-AR"/>
        </w:rPr>
        <w:t xml:space="preserve">La parte demandada mediante escrito electrónico presentado en fecha 22 de marzo de 2019 solicita se declare desierto el recurso de la contraria.</w:t>
      </w:r>
    </w:p>
    <w:p>
      <w:pPr>
        <w:pStyle w:val="[Normal]"/>
        <w:spacing w:line="480" w:lineRule="auto"/>
        <w:ind w:firstLine="1134"/>
        <w:jc w:val="both"/>
        <w:rPr>
          <w:lang w:val="es-AR" w:eastAsia="es-AR" w:bidi="es-AR"/>
        </w:rPr>
      </w:pPr>
      <w:r>
        <w:rPr>
          <w:lang w:val="es-AR" w:eastAsia="es-AR" w:bidi="es-AR"/>
        </w:rPr>
        <w:t xml:space="preserve">Estudiada la causa no puedo dejar  de señalar la insuficiencia del memorial que dificulta sin duda alguna  el  abastecimiento de los requisitos previstos por los arts. 246 y 260 del CPC en cuanto a que todo planteo revisor debe contener un análisis razonado de la materia impugnada, aportando la demostración de los que se reputa erróneo, injusto o contrario  a derecho, debiendo agotarse en la segunda instancia la carga técnica de comunicar a la Alzada cuales con los motivos concretos del agravio sin que puedan ser suficientes las meras discrepancias subjetivas con el criterio expuesto por el juzgador.-Cfr. Morello Códigos Procesales, pág 204 T III.-</w:t>
      </w:r>
    </w:p>
    <w:p>
      <w:pPr>
        <w:pStyle w:val="[Normal]"/>
        <w:spacing w:line="480" w:lineRule="auto"/>
        <w:ind w:firstLine="1134"/>
        <w:jc w:val="both"/>
        <w:rPr>
          <w:lang w:val="es-AR" w:eastAsia="es-AR" w:bidi="es-AR"/>
        </w:rPr>
      </w:pPr>
      <w:r>
        <w:rPr>
          <w:lang w:val="es-AR" w:eastAsia="es-AR" w:bidi="es-AR"/>
        </w:rPr>
        <w:t xml:space="preserve">Se ha dicho que conforme a la exigencia del art. 265 del CPC, aplicable al memorial que establece el art. 246 del mismo ordenamiento, el escrito de expresión de agravios debe contener una crítica concreta y razonada de las partes del fallo que el apelante  considere equivocadas (Cam Nac. Civ. sala C, Der. v. 29 p. 634 La Ley 1984, Cfr Morello "Códigos.." pág 212 T III.-</w:t>
      </w:r>
    </w:p>
    <w:p>
      <w:pPr>
        <w:pStyle w:val="[Normal]"/>
        <w:spacing w:line="480" w:lineRule="auto"/>
        <w:ind w:firstLine="1134"/>
        <w:jc w:val="both"/>
        <w:rPr>
          <w:lang w:val="es-AR" w:eastAsia="es-AR" w:bidi="es-AR"/>
        </w:rPr>
      </w:pPr>
      <w:r>
        <w:rPr>
          <w:lang w:val="es-AR" w:eastAsia="es-AR" w:bidi="es-AR"/>
        </w:rPr>
        <w:t xml:space="preserve">"Consecuentemente el memorial no cumple con los requisitos aludidos, cuando se encuentra concebido en términos generales y sin rebatir, punto por punto, las partes de una resolución judicial que se considera equivocada, manifestando una mera discrepancia y sin suministrar argumentos jurídicos que lo desmerezcan.  Se requiere así, que se demuestren los pretendidos errores, omisiones y deficiencias que el apelante atribuye al pronunciamiento que ataca" Cfr Morello "Códigos..." pág 212.-</w:t>
      </w:r>
    </w:p>
    <w:p>
      <w:pPr>
        <w:pStyle w:val="[Normal]"/>
        <w:spacing w:line="480" w:lineRule="auto"/>
        <w:ind w:firstLine="1134"/>
        <w:jc w:val="both"/>
        <w:rPr>
          <w:lang w:val="es-AR" w:eastAsia="es-AR" w:bidi="es-AR"/>
        </w:rPr>
      </w:pPr>
      <w:r>
        <w:rPr>
          <w:lang w:val="es-AR" w:eastAsia="es-AR" w:bidi="es-AR"/>
        </w:rPr>
        <w:t xml:space="preserve">Si bien es cierto que debe prevalecer un criterio amplio en la apreciación de los requisitos que debe cumplir la expresión de agravios, conforme el aseguramiento de la defensa en juicio previsto en el art. 18 de la Constitución Nacional, en la especie haciendo prevalecer ese criterio por sobre las deficiencias técnico procesales, procederé a analizar el disgusto ensayado.-</w:t>
      </w:r>
    </w:p>
    <w:p>
      <w:pPr>
        <w:pStyle w:val="[Normal]"/>
        <w:spacing w:line="480" w:lineRule="auto"/>
        <w:ind w:firstLine="1134"/>
        <w:jc w:val="both"/>
        <w:rPr>
          <w:lang w:val="es-AR" w:eastAsia="es-AR" w:bidi="es-AR"/>
        </w:rPr>
      </w:pPr>
      <w:r>
        <w:rPr>
          <w:lang w:val="es-AR" w:eastAsia="es-AR" w:bidi="es-AR"/>
        </w:rPr>
        <w:t xml:space="preserve">La prioridad de paso que tenía el demandado y que fuera recogida por el aquo, ha sido admitida por la apelante, más no se ha alcanzado la prueba de las excepciones a dicha regla contenida por el art. 41 inc g) apartado 3) de la Ley 24.449, para que la directiva alli contenida pudiera ser soslayada, conforme uno de los puntos de disgusto expresados por la doliente.</w:t>
      </w:r>
    </w:p>
    <w:p>
      <w:pPr>
        <w:pStyle w:val="[Normal]"/>
        <w:spacing w:line="480" w:lineRule="auto"/>
        <w:ind w:firstLine="1134"/>
        <w:jc w:val="both"/>
        <w:rPr>
          <w:lang w:val="es-AR" w:eastAsia="es-AR" w:bidi="es-AR"/>
        </w:rPr>
      </w:pPr>
      <w:r>
        <w:rPr>
          <w:lang w:val="es-AR" w:eastAsia="es-AR" w:bidi="es-AR"/>
        </w:rPr>
        <w:t xml:space="preserve">La preferencia de paso del conductor que arriba por la derecha  de la encrucijada, si bien no funciona en el vacío, constituye una regla fundamental y también de carácter objetivo, en orden a analizar y decidir la responsabilidad que corresponde en una colisión entre automotores, conforme la normativa del art. 1113 del Cód. Civil.  Es que se trata, no solo de un principio de seguridad en el tránsito, sino de una regla de convivencia social establecida por el legislador.  Además, las normas de tránsito no son puras declaraciones académicas o requisitos para aprobar un examen habilitante, sino que están dadas para ser cumplidas, por lo que corresponde considerarlas en el plexo de circunstancias atinentes, en oportunidad de decidir la responsabilidad.  (CCI Art. 1113 CC0201LP, B 79926, RSD 96-95, S, 2-5-1995, Juez CRESPI (SD) CARATULA Maiztegui, Miguel Angel c/Benvenuto Julio César y otro s/Daños y Perjuicios MAG Votantes Crespi-Sosa).-</w:t>
      </w:r>
    </w:p>
    <w:p>
      <w:pPr>
        <w:pStyle w:val="[Normal]"/>
        <w:spacing w:line="480" w:lineRule="auto"/>
        <w:ind w:firstLine="1134"/>
        <w:jc w:val="both"/>
        <w:rPr>
          <w:lang w:val="es-AR" w:eastAsia="es-AR" w:bidi="es-AR"/>
        </w:rPr>
      </w:pPr>
      <w:r>
        <w:rPr>
          <w:lang w:val="es-AR" w:eastAsia="es-AR" w:bidi="es-AR"/>
        </w:rPr>
        <w:t xml:space="preserve">De tal manera "Quien pretende soslayar la regla que obliga a ceder el paso del vehículo que se presenta por la derecha, debe aportar concluyentes pruebas en apoyo de su tesis, pues se trata de nada menos que de invalidar la aplicación de una norma positiva. Y esto es así, porque el conductor que tiene preferencia de paso puede creer, con justa razón que quien guía el otro automóvil, obligado a conocer las disposiciones vigentes se lo cedería (art. 20 Cód. Civil), por lo que continúa su  marcha normal y al ocurrir la transgresión se ve sorprendido por esa irregular conducta, lo cual le impide contar con el tiempo necesario para maniobrar y evitar el choque" (Cfr C.C. L.P. B 69976 R.S.D. 188-90).-</w:t>
      </w:r>
    </w:p>
    <w:p>
      <w:pPr>
        <w:pStyle w:val="[Normal]"/>
        <w:spacing w:line="480" w:lineRule="auto"/>
        <w:ind w:firstLine="1134"/>
        <w:jc w:val="both"/>
        <w:rPr>
          <w:lang w:val="es-AR" w:eastAsia="es-AR" w:bidi="es-AR"/>
        </w:rPr>
      </w:pPr>
      <w:r>
        <w:rPr>
          <w:lang w:val="es-AR" w:eastAsia="es-AR" w:bidi="es-AR"/>
        </w:rPr>
        <w:t xml:space="preserve">Dicha prioridad de paso que le asistía al conductor del camión, no está en discusión, y tampoco ha logrado probar la actora las circunstancias fácticas o jurídicas para derribar ese principio, siendo insuficiente la invocación de su existencia sin prueba alguna.</w:t>
      </w:r>
    </w:p>
    <w:p>
      <w:pPr>
        <w:pStyle w:val="[Normal]"/>
        <w:spacing w:line="480" w:lineRule="auto"/>
        <w:ind w:firstLine="1134"/>
        <w:jc w:val="both"/>
        <w:rPr>
          <w:lang w:val="es-AR" w:eastAsia="es-AR" w:bidi="es-AR"/>
        </w:rPr>
      </w:pPr>
      <w:r>
        <w:rPr>
          <w:lang w:val="es-AR" w:eastAsia="es-AR" w:bidi="es-AR"/>
        </w:rPr>
        <w:t xml:space="preserve">Otro punto lo instala en la dimensión del camión, achacando que debería circular con precaución independientemente de la velocidad.-</w:t>
      </w:r>
    </w:p>
    <w:p>
      <w:pPr>
        <w:pStyle w:val="[Normal]"/>
        <w:spacing w:line="480" w:lineRule="auto"/>
        <w:ind w:firstLine="1134"/>
        <w:jc w:val="both"/>
        <w:rPr>
          <w:lang w:val="es-AR" w:eastAsia="es-AR" w:bidi="es-AR"/>
        </w:rPr>
      </w:pPr>
      <w:r>
        <w:rPr>
          <w:lang w:val="es-AR" w:eastAsia="es-AR" w:bidi="es-AR"/>
        </w:rPr>
        <w:t xml:space="preserve">La dimensión per se de un rodado o camión como en la especie, no define a priori los presupuestos de la responsabilidad, lo que en su clase se han asentado sobre la prioridad de paso ya analizada y también sobre una velocidad de circulación que la actora pretendió en su demanda mayor a la permitida y que no fue probado.  Claramente el aquo ha recurrido a la experticia practicada a fs. 53/54 de autos donde el perito informa que los rastros de arrastre son insuficientes para determinar la velocidad de circulación mediante cálculos y que el carácter de embistente físico lo tiene la actora además de otros datos relevantes que ya fueron expuestos y que doy por reproducidos.  Dicho informe pericial no fue impugnado por ninguna de las partes, y sobre todo por quien hoy disiente con los resultados de la misma.-</w:t>
      </w:r>
    </w:p>
    <w:p>
      <w:pPr>
        <w:pStyle w:val="[Normal]"/>
        <w:spacing w:line="480" w:lineRule="auto"/>
        <w:ind w:firstLine="1134"/>
        <w:jc w:val="both"/>
        <w:rPr>
          <w:lang w:val="es-AR" w:eastAsia="es-AR" w:bidi="es-AR"/>
        </w:rPr>
      </w:pPr>
      <w:r>
        <w:rPr>
          <w:lang w:val="es-AR" w:eastAsia="es-AR" w:bidi="es-AR"/>
        </w:rPr>
        <w:t xml:space="preserve">Frente a un elemento técnico pericial producido, con control de partes y examinado por el juez cuyas conclusiones no fueron neutralizadas, no veo motivos para apartarme del mismo (art. 474 del CPCC y su doctrina).-</w:t>
      </w:r>
    </w:p>
    <w:p>
      <w:pPr>
        <w:pStyle w:val="[Normal]"/>
        <w:spacing w:line="480" w:lineRule="auto"/>
        <w:ind w:firstLine="1134"/>
        <w:jc w:val="both"/>
        <w:rPr>
          <w:lang w:val="es-AR" w:eastAsia="es-AR" w:bidi="es-AR"/>
        </w:rPr>
      </w:pPr>
      <w:r>
        <w:rPr>
          <w:lang w:val="es-AR" w:eastAsia="es-AR" w:bidi="es-AR"/>
        </w:rPr>
        <w:t xml:space="preserve">Por tanto el disgusto expresado por la doliente sobre los dos puntos que he analizado además de no estar acreditados, no logran conmover ni siquiera mínimamente las conclusiones de la sentencia de grado, propiciando desde aquí su confirmación.</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el señor Juez Dr. </w:t>
      </w:r>
      <w:r>
        <w:rPr>
          <w:color w:val="000000"/>
          <w:lang w:val="es-AR" w:eastAsia="es-AR" w:bidi="es-AR"/>
        </w:rPr>
        <w:t xml:space="preserve">Roberto Degleue</w:t>
      </w:r>
      <w:r>
        <w:rPr>
          <w:lang w:val="es-AR" w:eastAsia="es-AR" w:bidi="es-AR"/>
        </w:rPr>
        <w:t xml:space="preserve">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la señora Jueza Dra. </w:t>
      </w:r>
      <w:r>
        <w:rPr>
          <w:color w:val="000000"/>
          <w:lang w:val="es-AR" w:eastAsia="es-AR" w:bidi="es-AR"/>
        </w:rPr>
        <w:t xml:space="preserve">Graciela Scaraffia</w:t>
      </w:r>
      <w:r>
        <w:rPr>
          <w:lang w:val="es-AR" w:eastAsia="es-AR" w:bidi="es-AR"/>
        </w:rPr>
        <w:t xml:space="preserve">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Desestimar el recurso de apelación deducido por la parte actora, confirmando la sentencia de grado en todas sus partes.</w:t>
      </w:r>
    </w:p>
    <w:p>
      <w:pPr>
        <w:pStyle w:val="[Normal]"/>
        <w:spacing w:line="480" w:lineRule="auto"/>
        <w:ind w:firstLine="1134"/>
        <w:jc w:val="both"/>
        <w:rPr>
          <w:lang w:val="es-AR" w:eastAsia="es-AR" w:bidi="es-AR"/>
        </w:rPr>
      </w:pPr>
      <w:r>
        <w:rPr>
          <w:lang w:val="es-AR" w:eastAsia="es-AR" w:bidi="es-AR"/>
        </w:rPr>
        <w:t xml:space="preserve">Costas a la apelante devinta (art. 68 del CPCC).</w:t>
      </w:r>
    </w:p>
    <w:p>
      <w:pPr>
        <w:pStyle w:val="[Normal]"/>
        <w:spacing w:line="480" w:lineRule="auto"/>
        <w:ind w:firstLine="1134"/>
        <w:jc w:val="both"/>
        <w:rPr>
          <w:lang w:val="es-AR" w:eastAsia="es-AR" w:bidi="es-AR"/>
        </w:rPr>
      </w:pPr>
      <w:r>
        <w:rPr>
          <w:lang w:val="es-AR" w:eastAsia="es-AR" w:bidi="es-AR"/>
        </w:rPr>
        <w:t xml:space="preserve">Diferir la regulación de honorarios de la letrada de la parte actora, por sus trabajos en segunda instancia, hasta tanto se encuentren firmes los de primera instancia (at. 31 L.H.P.).-</w:t>
      </w:r>
    </w:p>
    <w:p>
      <w:pPr>
        <w:pStyle w:val="[Normal]"/>
        <w:spacing w:line="480" w:lineRule="auto"/>
        <w:ind w:firstLine="1134"/>
        <w:jc w:val="both"/>
        <w:rPr>
          <w:lang w:val="es-AR" w:eastAsia="es-AR" w:bidi="es-AR"/>
        </w:rPr>
      </w:pPr>
      <w:r>
        <w:rPr>
          <w:lang w:val="es-AR" w:eastAsia="es-AR" w:bidi="es-AR"/>
        </w:rPr>
        <w:t xml:space="preserve">ASI LO VOTO. </w:t>
      </w:r>
    </w:p>
    <w:p>
      <w:pPr>
        <w:pStyle w:val="[Normal]"/>
        <w:spacing w:line="480" w:lineRule="auto"/>
        <w:ind w:firstLine="1134"/>
        <w:jc w:val="both"/>
        <w:rPr>
          <w:lang w:val="es-AR" w:eastAsia="es-AR" w:bidi="es-AR"/>
        </w:rPr>
      </w:pPr>
      <w:r>
        <w:rPr>
          <w:lang w:val="es-AR" w:eastAsia="es-AR" w:bidi="es-AR"/>
        </w:rPr>
        <w:t xml:space="preserve">A la misma cuestión el señor Juez Dr. </w:t>
      </w:r>
      <w:r>
        <w:rPr>
          <w:color w:val="000000"/>
          <w:lang w:val="es-AR" w:eastAsia="es-AR" w:bidi="es-AR"/>
        </w:rPr>
        <w:t xml:space="preserve">Roberto Degleue</w:t>
      </w:r>
      <w:r>
        <w:rPr>
          <w:lang w:val="es-AR" w:eastAsia="es-AR" w:bidi="es-AR"/>
        </w:rPr>
        <w:t xml:space="preserve">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Desestimar el recurso de apelación deducido por la parte actora, confirmando la sentencia de grado en todas sus partes.</w:t>
      </w:r>
    </w:p>
    <w:p>
      <w:pPr>
        <w:pStyle w:val="[Normal]"/>
        <w:spacing w:line="480" w:lineRule="auto"/>
        <w:ind w:firstLine="1134"/>
        <w:jc w:val="both"/>
        <w:rPr>
          <w:lang w:val="es-AR" w:eastAsia="es-AR" w:bidi="es-AR"/>
        </w:rPr>
      </w:pPr>
      <w:r>
        <w:rPr>
          <w:lang w:val="es-AR" w:eastAsia="es-AR" w:bidi="es-AR"/>
        </w:rPr>
        <w:t xml:space="preserve">Costas a la apelante devinta (art. 68 del CPCC).</w:t>
      </w:r>
    </w:p>
    <w:p>
      <w:pPr>
        <w:pStyle w:val="[Normal]"/>
        <w:spacing w:line="480" w:lineRule="auto"/>
        <w:ind w:firstLine="1134"/>
        <w:jc w:val="both"/>
        <w:rPr>
          <w:lang w:val="es-AR" w:eastAsia="es-AR" w:bidi="es-AR"/>
        </w:rPr>
      </w:pPr>
      <w:r>
        <w:rPr>
          <w:lang w:val="es-AR" w:eastAsia="es-AR" w:bidi="es-AR"/>
        </w:rPr>
        <w:t xml:space="preserve">Diferir la regulación de honorarios de la letrada de la parte actora, por sus trabajos en segunda instancia, hasta tanto se encuentren firmes los de primera instancia (at. 31 L.H.P.).-</w:t>
      </w:r>
    </w:p>
    <w:p>
      <w:pPr>
        <w:pStyle w:val="[Normal]"/>
        <w:spacing w:line="480" w:lineRule="auto"/>
        <w:ind w:firstLine="1134"/>
        <w:jc w:val="both"/>
        <w:rPr>
          <w:lang w:val="es-AR" w:eastAsia="es-AR" w:bidi="es-AR"/>
        </w:rPr>
      </w:pPr>
      <w:r>
        <w:rPr>
          <w:lang w:val="es-AR" w:eastAsia="es-AR" w:bidi="es-AR"/>
        </w:rPr>
        <w:t xml:space="preserve">Regístrese. Notifíquese. Devuélvase.-</w:t>
      </w:r>
    </w:p>
    <w:p>
      <w:pPr>
        <w:pStyle w:val="[Normal]"/>
        <w:spacing w:line="480" w:lineRule="auto"/>
        <w:ind w:firstLine="1134"/>
        <w:jc w:val="both"/>
        <w:rPr>
          <w:lang w:val="es-AR" w:eastAsia="es-AR" w:bidi="es-AR"/>
        </w:rPr>
      </w:pPr>
    </w:p>
    <w:p>
      <w:pPr>
        <w:pStyle w:val="[Normal]"/>
        <w:ind w:firstLine="1134"/>
        <w:jc w:val="center"/>
        <w:rPr>
          <w:b/>
          <w:color w:val="000000"/>
          <w:sz w:val="20"/>
          <w:lang w:val="es-AR" w:eastAsia="es-AR" w:bidi="es-AR"/>
        </w:rPr>
      </w:pPr>
      <w:r>
        <w:rPr>
          <w:b/>
          <w:color w:val="000000"/>
          <w:sz w:val="20"/>
          <w:lang w:val="es-AR" w:eastAsia="es-AR" w:bidi="es-AR"/>
        </w:rPr>
        <w:t xml:space="preserve">Roberto Manuel Degleue</w:t>
      </w:r>
    </w:p>
    <w:p>
      <w:pPr>
        <w:pStyle w:val="[Normal]"/>
        <w:ind w:firstLine="1134"/>
        <w:jc w:val="center"/>
        <w:rPr>
          <w:b/>
          <w:color w:val="000000"/>
          <w:sz w:val="20"/>
          <w:lang w:val="es-AR" w:eastAsia="es-AR" w:bidi="es-AR"/>
        </w:rPr>
      </w:pPr>
      <w:r>
        <w:rPr>
          <w:b/>
          <w:color w:val="000000"/>
          <w:sz w:val="20"/>
          <w:lang w:val="es-AR" w:eastAsia="es-AR" w:bidi="es-AR"/>
        </w:rPr>
        <w:t xml:space="preserve">Presidente</w:t>
      </w:r>
    </w:p>
    <w:p>
      <w:pPr>
        <w:pStyle w:val="[Normal]"/>
        <w:ind w:firstLine="1134"/>
        <w:jc w:val="center"/>
        <w:rPr>
          <w:b/>
          <w:color w:val="000000"/>
          <w:sz w:val="20"/>
          <w:lang w:val="es-AR" w:eastAsia="es-AR" w:bidi="es-AR"/>
        </w:rPr>
      </w:pPr>
      <w:r>
        <w:rPr>
          <w:b/>
          <w:color w:val="000000"/>
          <w:sz w:val="20"/>
          <w:lang w:val="es-AR" w:eastAsia="es-AR" w:bidi="es-AR"/>
        </w:rPr>
        <w:t xml:space="preserve">Cámara de Apelación  en lo Civil y Comercial </w:t>
      </w:r>
    </w:p>
    <w:p>
      <w:pPr>
        <w:pStyle w:val="[Normal]"/>
        <w:ind w:firstLine="1134"/>
        <w:jc w:val="center"/>
        <w:rPr>
          <w:b/>
          <w:color w:val="000000"/>
          <w:sz w:val="20"/>
          <w:lang w:val="es-AR" w:eastAsia="es-AR" w:bidi="es-AR"/>
        </w:rPr>
      </w:pPr>
      <w:r>
        <w:rPr>
          <w:b/>
          <w:color w:val="000000"/>
          <w:sz w:val="20"/>
          <w:lang w:val="es-AR" w:eastAsia="es-AR" w:bidi="es-AR"/>
        </w:rPr>
        <w:t xml:space="preserve">Dpto. Judicial Pergamino </w:t>
      </w:r>
    </w:p>
    <w:p>
      <w:pPr>
        <w:pStyle w:val="[Normal]"/>
        <w:ind w:firstLine="1134"/>
        <w:jc w:val="center"/>
        <w:rPr>
          <w:b/>
          <w:color w:val="000000"/>
          <w:sz w:val="20"/>
          <w:lang w:val="es-AR" w:eastAsia="es-AR" w:bidi="es-AR"/>
        </w:rPr>
      </w:pPr>
    </w:p>
    <w:p>
      <w:pPr>
        <w:pStyle w:val="[Normal]"/>
        <w:ind w:firstLine="1134"/>
        <w:jc w:val="center"/>
        <w:rPr>
          <w:b/>
          <w:color w:val="000000"/>
          <w:sz w:val="20"/>
          <w:lang w:val="es-AR" w:eastAsia="es-AR" w:bidi="es-AR"/>
        </w:rPr>
      </w:pPr>
    </w:p>
    <w:p>
      <w:pPr>
        <w:pStyle w:val="[Normal]"/>
        <w:ind w:firstLine="1134"/>
        <w:jc w:val="center"/>
        <w:rPr>
          <w:b/>
          <w:color w:val="000000"/>
          <w:sz w:val="20"/>
          <w:lang w:val="es-AR" w:eastAsia="es-AR" w:bidi="es-AR"/>
        </w:rPr>
      </w:pPr>
    </w:p>
    <w:p>
      <w:pPr>
        <w:pStyle w:val="[Normal]"/>
        <w:ind w:firstLine="1134"/>
        <w:jc w:val="center"/>
        <w:rPr>
          <w:b/>
          <w:color w:val="000000"/>
          <w:sz w:val="20"/>
          <w:lang w:val="es-AR" w:eastAsia="es-AR" w:bidi="es-AR"/>
        </w:rPr>
      </w:pPr>
    </w:p>
    <w:p>
      <w:pPr>
        <w:pStyle w:val="[Normal]"/>
        <w:ind w:firstLine="1134"/>
        <w:rPr>
          <w:b/>
          <w:color w:val="000000"/>
          <w:sz w:val="20"/>
          <w:lang w:val="es-AR" w:eastAsia="es-AR" w:bidi="es-AR"/>
        </w:rPr>
      </w:pPr>
      <w:r>
        <w:rPr>
          <w:b/>
          <w:color w:val="000000"/>
          <w:sz w:val="20"/>
          <w:lang w:val="es-AR" w:eastAsia="es-AR" w:bidi="es-AR"/>
        </w:rPr>
        <w:t xml:space="preserve">Graciela Scaraffia</w:t>
      </w:r>
    </w:p>
    <w:p>
      <w:pPr>
        <w:pStyle w:val="[Normal]"/>
        <w:ind w:firstLine="1134"/>
        <w:rPr>
          <w:b/>
          <w:color w:val="000000"/>
          <w:sz w:val="20"/>
          <w:lang w:val="es-AR" w:eastAsia="es-AR" w:bidi="es-AR"/>
        </w:rPr>
      </w:pPr>
      <w:r>
        <w:rPr>
          <w:b/>
          <w:color w:val="000000"/>
          <w:sz w:val="20"/>
          <w:lang w:val="es-AR" w:eastAsia="es-AR" w:bidi="es-AR"/>
        </w:rPr>
        <w:t xml:space="preserve">           Jueza</w:t>
      </w:r>
    </w:p>
    <w:p>
      <w:pPr>
        <w:pStyle w:val="[Normal]"/>
        <w:ind w:firstLine="1134"/>
        <w:rPr>
          <w:b/>
          <w:color w:val="000000"/>
          <w:sz w:val="20"/>
          <w:lang w:val="es-AR" w:eastAsia="es-AR" w:bidi="es-AR"/>
        </w:rPr>
      </w:pPr>
    </w:p>
    <w:p>
      <w:pPr>
        <w:pStyle w:val="[Normal]"/>
        <w:ind w:firstLine="1134"/>
        <w:rPr>
          <w:b/>
          <w:color w:val="000000"/>
          <w:sz w:val="20"/>
          <w:lang w:val="es-AR" w:eastAsia="es-AR" w:bidi="es-AR"/>
        </w:rPr>
      </w:pPr>
    </w:p>
    <w:p>
      <w:pPr>
        <w:pStyle w:val="[Normal]"/>
        <w:ind w:firstLine="1134"/>
        <w:jc w:val="center"/>
        <w:rPr>
          <w:b/>
          <w:color w:val="000000"/>
          <w:sz w:val="20"/>
          <w:lang w:val="es-AR" w:eastAsia="es-AR" w:bidi="es-AR"/>
        </w:rPr>
      </w:pPr>
    </w:p>
    <w:p>
      <w:pPr>
        <w:pStyle w:val="[Normal]"/>
        <w:ind w:firstLine="1134"/>
        <w:jc w:val="center"/>
        <w:rPr>
          <w:b/>
          <w:color w:val="000000"/>
          <w:sz w:val="20"/>
          <w:lang w:val="es-AR" w:eastAsia="es-AR" w:bidi="es-AR"/>
        </w:rPr>
      </w:pPr>
      <w:r>
        <w:rPr>
          <w:b/>
          <w:color w:val="000000"/>
          <w:sz w:val="20"/>
          <w:lang w:val="es-AR" w:eastAsia="es-AR" w:bidi="es-AR"/>
        </w:rPr>
        <w:t xml:space="preserve">Luis María BIANCO</w:t>
      </w:r>
    </w:p>
    <w:p>
      <w:pPr>
        <w:pStyle w:val="[Normal]"/>
        <w:rPr>
          <w:b/>
          <w:color w:val="000000"/>
          <w:sz w:val="20"/>
          <w:lang w:val="es-AR" w:eastAsia="es-AR" w:bidi="es-AR"/>
        </w:rPr>
      </w:pPr>
      <w:r>
        <w:rPr>
          <w:b/>
          <w:color w:val="000000"/>
          <w:sz w:val="20"/>
          <w:lang w:val="es-AR" w:eastAsia="es-AR" w:bidi="es-AR"/>
        </w:rPr>
        <w:t xml:space="preserve">Auxiliar Letrado</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