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100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652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15  de  agosto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2971-17</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BRITO VICENTE ANTONIO C/ RUBEN N. CAROZZO S.A. Y OTRO/A S/DAÑOS Y PERJ. INCUMP. CONTRACTUAL (EXC. ESTADO)</w:t>
      </w:r>
      <w:r>
        <w:rPr>
          <w:b/>
          <w:lang w:val="es-AR" w:eastAsia="es-AR" w:bidi="es-AR"/>
        </w:rPr>
        <w:t xml:space="preserve">"</w:t>
      </w:r>
      <w:r>
        <w:rPr>
          <w:lang w:val="es-AR" w:eastAsia="es-AR" w:bidi="es-AR"/>
        </w:rPr>
        <w:t xml:space="preserve">, Expte. N° 50.370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rechazando la demanda instaurada contra Rubén N. Carozzo y Elda Peretti, e impuso las costas a la parte actora y reguló los honorarios de los letrados y peritos intervinientes.</w:t>
      </w:r>
    </w:p>
    <w:p>
      <w:pPr>
        <w:pStyle w:val="[Normal]"/>
        <w:spacing w:line="480" w:lineRule="auto"/>
        <w:ind w:firstLine="1134"/>
        <w:jc w:val="both"/>
        <w:rPr>
          <w:lang w:val="es-AR" w:eastAsia="es-AR" w:bidi="es-AR"/>
        </w:rPr>
      </w:pPr>
      <w:r>
        <w:rPr>
          <w:lang w:val="es-AR" w:eastAsia="es-AR" w:bidi="es-AR"/>
        </w:rPr>
        <w:t xml:space="preserve">A fs. 533 apeló la parte actora, que expresó sus agravios mediante el escrito obrante  a fs. 551/3 vta.</w:t>
      </w:r>
    </w:p>
    <w:p>
      <w:pPr>
        <w:pStyle w:val="[Normal]"/>
        <w:spacing w:line="480" w:lineRule="auto"/>
        <w:ind w:firstLine="1134"/>
        <w:jc w:val="both"/>
        <w:rPr>
          <w:lang w:val="es-AR" w:eastAsia="es-AR" w:bidi="es-AR"/>
        </w:rPr>
      </w:pPr>
      <w:r>
        <w:rPr>
          <w:lang w:val="es-AR" w:eastAsia="es-AR" w:bidi="es-AR"/>
        </w:rPr>
        <w:t xml:space="preserve">Principia su queja el apelante afirmando que desconoció el a-quo la prueba incorporada en el proceso, ciñendo erróneamente su fallo en que no se acreditó la suscripción de la firma del boleto de compra-venta por parte del representante de la firma vendedora -hoy demandada- cuyas posiciones quedaron absueltas en rebeldía en atención a su ausencia en la audiencia celebrada en fecha 11 de diciembre de 2015.</w:t>
      </w:r>
    </w:p>
    <w:p>
      <w:pPr>
        <w:pStyle w:val="[Normal]"/>
        <w:spacing w:line="480" w:lineRule="auto"/>
        <w:ind w:firstLine="1134"/>
        <w:jc w:val="both"/>
        <w:rPr>
          <w:lang w:val="es-AR" w:eastAsia="es-AR" w:bidi="es-AR"/>
        </w:rPr>
      </w:pPr>
      <w:r>
        <w:rPr>
          <w:lang w:val="es-AR" w:eastAsia="es-AR" w:bidi="es-AR"/>
        </w:rPr>
        <w:t xml:space="preserve">Sostiene que en el pliego acompañado en la misma, se hizo puntal referencia a la autenticidad de la firma del señor Manzione y si éste revestía la calidad de empleado de la firma demandada, lo cual, como efecto de la presunción de rebeldía, no ha sido desvirtuado en autos.</w:t>
      </w:r>
    </w:p>
    <w:p>
      <w:pPr>
        <w:pStyle w:val="[Normal]"/>
        <w:spacing w:line="480" w:lineRule="auto"/>
        <w:ind w:firstLine="1134"/>
        <w:jc w:val="both"/>
        <w:rPr>
          <w:lang w:val="es-AR" w:eastAsia="es-AR" w:bidi="es-AR"/>
        </w:rPr>
      </w:pPr>
      <w:r>
        <w:rPr>
          <w:lang w:val="es-AR" w:eastAsia="es-AR" w:bidi="es-AR"/>
        </w:rPr>
        <w:t xml:space="preserve">Aduce que las posiciones se vinculan concretamente con los hechos relatados, lo cual es suficiente acreditación para echar por tierra el yerro del juzgador en su fallo.</w:t>
      </w:r>
    </w:p>
    <w:p>
      <w:pPr>
        <w:pStyle w:val="[Normal]"/>
        <w:spacing w:line="480" w:lineRule="auto"/>
        <w:ind w:firstLine="1134"/>
        <w:jc w:val="both"/>
        <w:rPr>
          <w:lang w:val="es-AR" w:eastAsia="es-AR" w:bidi="es-AR"/>
        </w:rPr>
      </w:pPr>
      <w:r>
        <w:rPr>
          <w:lang w:val="es-AR" w:eastAsia="es-AR" w:bidi="es-AR"/>
        </w:rPr>
        <w:t xml:space="preserve">Consigna jurisprudencia en apoyo de su postura.</w:t>
      </w:r>
    </w:p>
    <w:p>
      <w:pPr>
        <w:pStyle w:val="[Normal]"/>
        <w:spacing w:line="480" w:lineRule="auto"/>
        <w:ind w:firstLine="1134"/>
        <w:jc w:val="both"/>
        <w:rPr>
          <w:lang w:val="es-AR" w:eastAsia="es-AR" w:bidi="es-AR"/>
        </w:rPr>
      </w:pPr>
      <w:r>
        <w:rPr>
          <w:lang w:val="es-AR" w:eastAsia="es-AR" w:bidi="es-AR"/>
        </w:rPr>
        <w:t xml:space="preserve">Respecto de la existencia del contrato de comodato -negada por su parte- señala que no hubo por parte de los demandados ningún tipo de reconocimiento o medida, aún en la ausencia de cuerpo de escritura y suponiendo que existió el contrato de comodato, ello no es óbice para impedir la suscripción del boleto de compra-venta. Reserva el Caso Federal y solicita se revoque la sentencia anterior, con costas.</w:t>
      </w:r>
    </w:p>
    <w:p>
      <w:pPr>
        <w:pStyle w:val="[Normal]"/>
        <w:spacing w:line="480" w:lineRule="auto"/>
        <w:ind w:firstLine="1134"/>
        <w:jc w:val="both"/>
        <w:rPr>
          <w:lang w:val="es-AR" w:eastAsia="es-AR" w:bidi="es-AR"/>
        </w:rPr>
      </w:pPr>
      <w:r>
        <w:rPr>
          <w:lang w:val="es-AR" w:eastAsia="es-AR" w:bidi="es-AR"/>
        </w:rPr>
        <w:t xml:space="preserve">Conferido el traslado pertinente, quedó incontestado por la contraparte, a quien se dio por perdido el derecho dejado de usar. A fs. 555 se dictó el llamamiento de autos de fecha 2 de mayo de 2019, que habiendo adquirido firmeza, deja la causa en condiciones de ser fallada.</w:t>
      </w:r>
    </w:p>
    <w:p>
      <w:pPr>
        <w:pStyle w:val="[Normal]"/>
        <w:spacing w:line="480" w:lineRule="auto"/>
        <w:ind w:firstLine="1134"/>
        <w:jc w:val="both"/>
        <w:rPr>
          <w:lang w:val="es-AR" w:eastAsia="es-AR" w:bidi="es-AR"/>
        </w:rPr>
      </w:pPr>
      <w:r>
        <w:rPr>
          <w:lang w:val="es-AR" w:eastAsia="es-AR" w:bidi="es-AR"/>
        </w:rPr>
        <w:t xml:space="preserve">En tarea de resolver la queja formulada, he de señalar que el disgusto se centra solo en el rechazo de la demanda respecto de Rubén N. Carozzo S.A., no contra la Sra. Peretti, quien fuera la demandada en carácter de principal del negocio objeto de la litis.-</w:t>
      </w:r>
    </w:p>
    <w:p>
      <w:pPr>
        <w:pStyle w:val="[Normal]"/>
        <w:spacing w:line="480" w:lineRule="auto"/>
        <w:ind w:firstLine="1134"/>
        <w:jc w:val="both"/>
        <w:rPr>
          <w:lang w:val="es-AR" w:eastAsia="es-AR" w:bidi="es-AR"/>
        </w:rPr>
      </w:pPr>
      <w:r>
        <w:rPr>
          <w:lang w:val="es-AR" w:eastAsia="es-AR" w:bidi="es-AR"/>
        </w:rPr>
        <w:t xml:space="preserve">Ello así, y a poco de analizar el fundamento del fallo primero para el rechazo de la demanda contra los nombrados, lo ha sido la circunstancia de no tener por comprobados que los "... </w:t>
      </w:r>
      <w:r>
        <w:rPr>
          <w:i/>
          <w:lang w:val="es-AR" w:eastAsia="es-AR" w:bidi="es-AR"/>
        </w:rPr>
        <w:t xml:space="preserve">incumplimientos que se le enrostran no le son imputables, el primero por deberse a una omisión  de un órgano jurisdiccional, y el segundo por imperio de la normativa específica que impide - sin  admitir la prueba en contrario - considerar al actor como comprador de buena fe</w:t>
      </w:r>
      <w:r>
        <w:rPr>
          <w:lang w:val="es-AR" w:eastAsia="es-AR" w:bidi="es-AR"/>
        </w:rPr>
        <w:t xml:space="preserve">" (Fs. 520).-</w:t>
      </w:r>
    </w:p>
    <w:p>
      <w:pPr>
        <w:pStyle w:val="[Normal]"/>
        <w:spacing w:line="480" w:lineRule="auto"/>
        <w:ind w:firstLine="1134"/>
        <w:jc w:val="both"/>
        <w:rPr>
          <w:lang w:val="es-AR" w:eastAsia="es-AR" w:bidi="es-AR"/>
        </w:rPr>
      </w:pPr>
      <w:r>
        <w:rPr>
          <w:lang w:val="es-AR" w:eastAsia="es-AR" w:bidi="es-AR"/>
        </w:rPr>
        <w:t xml:space="preserve">Este último aspecto -esto es la falta de buena fe-, ha sido valorado en base a las pruebas colectadas que le permitieron concluir que al haberse entregado la unidad en la compraventa celebrada entre el Sr. Brito y la Sra. Peretti, y recibido el primero de ellos en su carácter de comprador sin la correspondiente verificación policial, es que juzgó " ... </w:t>
      </w:r>
      <w:r>
        <w:rPr>
          <w:i/>
          <w:lang w:val="es-AR" w:eastAsia="es-AR" w:bidi="es-AR"/>
        </w:rPr>
        <w:t xml:space="preserve">inadmisible imputar las consecuencias disvaliosas de su propia conformidad a la ahora demandada, ya que por imperativo legal, ha de juzgárselo como adquirente de mala fe </w:t>
      </w:r>
      <w:r>
        <w:rPr>
          <w:lang w:val="es-AR" w:eastAsia="es-AR" w:bidi="es-AR"/>
        </w:rPr>
        <w:t xml:space="preserve">.". A su vez poniendo de resalto que "... </w:t>
      </w:r>
      <w:r>
        <w:rPr>
          <w:i/>
          <w:lang w:val="es-AR" w:eastAsia="es-AR" w:bidi="es-AR"/>
        </w:rPr>
        <w:t xml:space="preserve">la única persona que contaba con la posibilidad material de realizar el trámite de verificación policial  del camión era el Sr. Brito, ya que al aceptar la posesión  del rodado sin haberse cumplimentado ese recaudo, tácitamente admitió que estaba a su cargo hacerlo, pues ello era imposible para quien no tenía el camión en su poder</w:t>
      </w:r>
      <w:r>
        <w:rPr>
          <w:lang w:val="es-AR" w:eastAsia="es-AR" w:bidi="es-AR"/>
        </w:rPr>
        <w:t xml:space="preserve">" (Fs. 519 vta.).-</w:t>
      </w:r>
    </w:p>
    <w:p>
      <w:pPr>
        <w:pStyle w:val="[Normal]"/>
        <w:spacing w:line="480" w:lineRule="auto"/>
        <w:ind w:firstLine="1134"/>
        <w:jc w:val="both"/>
        <w:rPr>
          <w:lang w:val="es-AR" w:eastAsia="es-AR" w:bidi="es-AR"/>
        </w:rPr>
      </w:pPr>
      <w:r>
        <w:rPr>
          <w:lang w:val="es-AR" w:eastAsia="es-AR" w:bidi="es-AR"/>
        </w:rPr>
        <w:t xml:space="preserve">Por ello, también concluyó en que la empresa codemandada no tuvo responsabilidad alguna, en tanto "...</w:t>
      </w:r>
      <w:r>
        <w:rPr>
          <w:i/>
          <w:lang w:val="es-AR" w:eastAsia="es-AR" w:bidi="es-AR"/>
        </w:rPr>
        <w:t xml:space="preserve"> la parte actora no ha logrado acreditar que su participación en la compraventa del rodado excediera la mera entrega de la unidad, de modo que no existe prueba alguna que evidencie un incumplimiento dañoso que le sea imputable</w:t>
      </w:r>
      <w:r>
        <w:rPr>
          <w:lang w:val="es-AR" w:eastAsia="es-AR" w:bidi="es-AR"/>
        </w:rPr>
        <w:t xml:space="preserve">". (Fs. 529)</w:t>
      </w:r>
    </w:p>
    <w:p>
      <w:pPr>
        <w:pStyle w:val="[Normal]"/>
        <w:spacing w:line="480" w:lineRule="auto"/>
        <w:ind w:firstLine="1134"/>
        <w:jc w:val="both"/>
        <w:rPr>
          <w:lang w:val="es-AR" w:eastAsia="es-AR" w:bidi="es-AR"/>
        </w:rPr>
      </w:pPr>
      <w:r>
        <w:rPr>
          <w:lang w:val="es-AR" w:eastAsia="es-AR" w:bidi="es-AR"/>
        </w:rPr>
        <w:t xml:space="preserve">Es decir que el motivo del rechazo de la acción incoada, ha sido la ausencia de prueba de incumplimiento alguno de los accionados, siendo el desarrollo interpretativo del juez correcto, en tanto que como señalara en su sentencia, ante la negativa expresa de la codemandada Rubén N. Carozzo S.A. respecto a su participación activa en el negocio objeto del juicio, tocábale a la actora la prueba tendiente a rebatir tal posición por imperativo legal, tal como sería pericia sobre la firma de la persona que sindicara en demanda como dependiente de aquella  o sobre los libros de la misma, para determinar si el Sr. Mansione o Manzione estuviera registrado en relación de dependencia con ella. (Art. 375 del C.P.C. y C.).-</w:t>
      </w:r>
    </w:p>
    <w:p>
      <w:pPr>
        <w:pStyle w:val="[Normal]"/>
        <w:spacing w:line="480" w:lineRule="auto"/>
        <w:ind w:firstLine="1134"/>
        <w:jc w:val="both"/>
        <w:rPr>
          <w:lang w:val="es-AR" w:eastAsia="es-AR" w:bidi="es-AR"/>
        </w:rPr>
      </w:pPr>
      <w:r>
        <w:rPr>
          <w:lang w:val="es-AR" w:eastAsia="es-AR" w:bidi="es-AR"/>
        </w:rPr>
        <w:t xml:space="preserve">A mayor abundamiento, corresponde aclarar que de ningún modo la absolución de posiciones en rebeldía sobre la que pregona el apelante su disgusto puede ser decisiva para la resolución del caso cuando en la contestación de la demanda, se negara enfática y expresamente la participación de la empresa en el negocio jurídico que el actor invocara como fuente de responsabilidad por incumplimiento.-</w:t>
      </w:r>
    </w:p>
    <w:p>
      <w:pPr>
        <w:pStyle w:val="[Normal]"/>
        <w:spacing w:line="480" w:lineRule="auto"/>
        <w:ind w:firstLine="1134"/>
        <w:jc w:val="both"/>
        <w:rPr>
          <w:lang w:val="es-AR" w:eastAsia="es-AR" w:bidi="es-AR"/>
        </w:rPr>
      </w:pPr>
      <w:r>
        <w:rPr>
          <w:lang w:val="es-AR" w:eastAsia="es-AR" w:bidi="es-AR"/>
        </w:rPr>
        <w:t xml:space="preserve">Es que "</w:t>
      </w:r>
      <w:r>
        <w:rPr>
          <w:i/>
          <w:lang w:val="es-AR" w:eastAsia="es-AR" w:bidi="es-AR"/>
        </w:rPr>
        <w:t xml:space="preserve">la confesión ficta no puede prevalecer sobre la negativa categórica expresada en el responde, mientras no existan otros elementos que puedan servir de cotejo para su apoyo"</w:t>
      </w:r>
      <w:r>
        <w:rPr>
          <w:lang w:val="es-AR" w:eastAsia="es-AR" w:bidi="es-AR"/>
        </w:rPr>
        <w:t xml:space="preserve"> (Carlos E. Fenochietto, "Código Procesal Civil y Comercial de la Provincia de Buenos Aires" , comentado, anotado y concordado legislación complementaria, 5ta. edición actualizada y ampliada, Ed. Astrea, ciudad Buenos Aires, 1999, pág.487).-</w:t>
      </w:r>
    </w:p>
    <w:p>
      <w:pPr>
        <w:pStyle w:val="[Normal]"/>
        <w:spacing w:line="480" w:lineRule="auto"/>
        <w:ind w:firstLine="1134"/>
        <w:jc w:val="both"/>
        <w:rPr>
          <w:lang w:val="es-AR" w:eastAsia="es-AR" w:bidi="es-AR"/>
        </w:rPr>
      </w:pPr>
      <w:r>
        <w:rPr>
          <w:lang w:val="es-AR" w:eastAsia="es-AR" w:bidi="es-AR"/>
        </w:rPr>
        <w:t xml:space="preserve">"</w:t>
      </w:r>
      <w:r>
        <w:rPr>
          <w:i/>
          <w:lang w:val="es-AR" w:eastAsia="es-AR" w:bidi="es-AR"/>
        </w:rPr>
        <w:t xml:space="preserve">El valor probatorio de la prueba confesional, debe apreciarse en su correlación con el resto de las pruebas atendiendo a las circunstancias de la causa, pues de lo contrario se haría prevalecer la ficción sobre la realidad y la decisión podría alejarse de la verdad material. Y ello no solo en el ámbito de la confesión ficta, cuya virtualidad probatoria, no es de plena prueba (art. 417 del C.P.C.), sino también en relación a la confesión expresa, de fuerza insuperable que la constituye en la probatio probatíssima</w:t>
      </w:r>
      <w:r>
        <w:rPr>
          <w:lang w:val="es-AR" w:eastAsia="es-AR" w:bidi="es-AR"/>
        </w:rPr>
        <w:t xml:space="preserve"> (art. 421 del C.P.C.C.).(SCBA LP C 121756 S 13/06/2018 - SCBA LP C 120925 S 06/12/2017, entre otras, Sumario juba: B3902976).-</w:t>
      </w:r>
    </w:p>
    <w:p>
      <w:pPr>
        <w:pStyle w:val="[Normal]"/>
        <w:spacing w:line="480" w:lineRule="auto"/>
        <w:ind w:firstLine="1134"/>
        <w:jc w:val="both"/>
        <w:rPr>
          <w:lang w:val="es-AR" w:eastAsia="es-AR" w:bidi="es-AR"/>
        </w:rPr>
      </w:pPr>
      <w:r>
        <w:rPr>
          <w:lang w:val="es-AR" w:eastAsia="es-AR" w:bidi="es-AR"/>
        </w:rPr>
        <w:t xml:space="preserve">Sin perjuicio de lo dicho anteriormente, como lo señalara más arriba si ningún incumplimiento tuvo el juez por probado en relación a la Sra. Peretti, si alguna participación hubiera tenido la codemandada Rubén N. Carozzo en el negocio, tampoco habría incurrido en incumplimiento alguno de su parte.-</w:t>
      </w:r>
    </w:p>
    <w:p>
      <w:pPr>
        <w:pStyle w:val="[Normal]"/>
        <w:spacing w:line="480" w:lineRule="auto"/>
        <w:ind w:firstLine="1134"/>
        <w:jc w:val="both"/>
        <w:rPr>
          <w:lang w:val="es-AR" w:eastAsia="es-AR" w:bidi="es-AR"/>
        </w:rPr>
      </w:pPr>
      <w:r>
        <w:rPr>
          <w:lang w:val="es-AR" w:eastAsia="es-AR" w:bidi="es-AR"/>
        </w:rPr>
        <w:t xml:space="preserve">En definitiva, el fundamento del rechazo de la demanda promovida por el actor no radicó en la falta de prueba respecto a la participación del codemandado Rubén Carozzo S.A. en la relación contractual controvertida en autos, sino en la circunstancia de que la inconducta reprochada al accionado no se hallaba dentro del alcance prestacional de la obligación asumida por éste en el marco de dicha relación. </w:t>
      </w:r>
    </w:p>
    <w:p>
      <w:pPr>
        <w:pStyle w:val="[Normal]"/>
        <w:spacing w:line="480" w:lineRule="auto"/>
        <w:ind w:firstLine="1134"/>
        <w:jc w:val="both"/>
        <w:rPr>
          <w:lang w:val="es-AR" w:eastAsia="es-AR" w:bidi="es-AR"/>
        </w:rPr>
      </w:pPr>
      <w:r>
        <w:rPr>
          <w:lang w:val="es-AR" w:eastAsia="es-AR" w:bidi="es-AR"/>
        </w:rPr>
        <w:t xml:space="preserve">Como consecuencia lógica de lo anterior, la cuestión relativa a la eficacia de la confesión ficta en punto a la acreditación de la autenticidad de la firma ha devenido virtualmente irrelevante para la resolución de la causa toda vez que el razonamiento decisorio no ha girado en torno a la vinculación contractual del actor, sino al contenido del plan prestacional a su cargo. Es precisamente en tal aspecto donde se asienta la fundamentación del Juez de grado para declarar la improcedencia de la pretensión actoral.  	 	Y dado que la expresión de agravios del recurrente no trasunta una crítica fundada respecto a las consideraciones efectuadas por parte del sentenciante primero en relación a la interpretación del alcance de la obligación asumida por la firma codemandada, no corresponde en esta instancia abrir la revisión de dicho punto.</w:t>
      </w:r>
    </w:p>
    <w:p>
      <w:pPr>
        <w:pStyle w:val="[Normal]"/>
        <w:spacing w:line="480" w:lineRule="auto"/>
        <w:ind w:firstLine="1134"/>
        <w:jc w:val="both"/>
        <w:rPr>
          <w:lang w:val="es-AR" w:eastAsia="es-AR" w:bidi="es-AR"/>
        </w:rPr>
      </w:pPr>
      <w:r>
        <w:rPr>
          <w:lang w:val="es-AR" w:eastAsia="es-AR" w:bidi="es-AR"/>
        </w:rPr>
        <w:t xml:space="preserve">Al respecto ha señalado la SCBA que </w:t>
      </w:r>
      <w:r>
        <w:rPr>
          <w:i/>
          <w:lang w:val="es-AR" w:eastAsia="es-AR" w:bidi="es-AR"/>
        </w:rPr>
        <w:t xml:space="preserve">"...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w:t>
      </w:r>
      <w:r>
        <w:rPr>
          <w:lang w:val="es-AR" w:eastAsia="es-AR" w:bidi="es-AR"/>
        </w:rPr>
        <w:t xml:space="preserve"> (conf. Ac. 49.561, sent. del 31-V-1994 en "Acuerdos y Sentencias", 1994-II-383; Ac. 53.320, sent. del 19-XII-1995 en "Acuerdos y Sentencias", 1995-IV-674; conf. doct. C. 91.877, sent. del 13-XII-2006)"...(causa C 1128-13 S 16/07/2014).</w:t>
      </w:r>
    </w:p>
    <w:p>
      <w:pPr>
        <w:pStyle w:val="[Normal]"/>
        <w:spacing w:line="480" w:lineRule="auto"/>
        <w:ind w:firstLine="1134"/>
        <w:jc w:val="both"/>
        <w:rPr>
          <w:lang w:val="es-AR" w:eastAsia="es-AR" w:bidi="es-AR"/>
        </w:rPr>
      </w:pPr>
      <w:r>
        <w:rPr>
          <w:lang w:val="es-AR" w:eastAsia="es-AR" w:bidi="es-AR"/>
        </w:rPr>
        <w:t xml:space="preserve">Esta Cámara Departamental ha dicho que: </w:t>
      </w:r>
      <w:r>
        <w:rPr>
          <w:i/>
          <w:lang w:val="es-AR" w:eastAsia="es-AR" w:bidi="es-AR"/>
        </w:rPr>
        <w:t xml:space="preserve">"...la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 </w:t>
      </w:r>
      <w:r>
        <w:rPr>
          <w:lang w:val="es-AR" w:eastAsia="es-AR" w:bidi="es-AR"/>
        </w:rPr>
        <w:t xml:space="preserve">(CAUSA N° </w:t>
      </w:r>
      <w:r>
        <w:rPr>
          <w:color w:val="000000"/>
          <w:lang w:val="es-AR" w:eastAsia="es-AR" w:bidi="es-AR"/>
        </w:rPr>
        <w:t xml:space="preserve">3511-18</w:t>
      </w:r>
      <w:r>
        <w:rPr>
          <w:lang w:val="es-AR" w:eastAsia="es-AR" w:bidi="es-AR"/>
        </w:rPr>
        <w:t xml:space="preserve">  - </w:t>
      </w:r>
      <w:r>
        <w:rPr>
          <w:color w:val="000000"/>
          <w:lang w:val="es-AR" w:eastAsia="es-AR" w:bidi="es-AR"/>
        </w:rPr>
        <w:t xml:space="preserve">SILVA SABRINA CINTIA  C/ LAZZARI STELLA MARIS S/ DAÑOS Y PERJ. INCUMP. CONTRACTUAL (EXC. ESTADO)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 apelación interpuesto, confirmando la sentencia de primera instancia. Costas a la apelante que resulta vencida (Art. 68 del C.P.C. y C.). </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de apelación interpuesto, confirmando la sentencia de primera instancia. Costas a la apelante que resulta vencida (Art. 68 del C.P.C. y C.). </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jc w:val="center"/>
        <w:rPr>
          <w:b/>
          <w:color w:val="000000"/>
          <w:sz w:val="18"/>
          <w:lang w:val="es-AR" w:eastAsia="es-AR" w:bidi="es-AR"/>
        </w:rPr>
      </w:pPr>
      <w:r>
        <w:rPr>
          <w:color w:val="000000"/>
          <w:lang w:val="es-AR" w:eastAsia="es-AR" w:bidi="es-AR"/>
        </w:rPr>
        <w:t xml:space="preserve">                           </w:t>
      </w:r>
      <w:r>
        <w:rPr>
          <w:b/>
          <w:color w:val="000000"/>
          <w:sz w:val="18"/>
          <w:lang w:val="es-AR" w:eastAsia="es-AR" w:bidi="es-AR"/>
        </w:rPr>
        <w:t xml:space="preserve">   Roberto Manuel Degleue</w:t>
      </w:r>
    </w:p>
    <w:p>
      <w:pPr>
        <w:pStyle w:val="[Normal]"/>
        <w:jc w:val="center"/>
        <w:rPr>
          <w:b/>
          <w:color w:val="000000"/>
          <w:sz w:val="18"/>
          <w:lang w:val="es-AR" w:eastAsia="es-AR" w:bidi="es-AR"/>
        </w:rPr>
      </w:pPr>
      <w:r>
        <w:rPr>
          <w:b/>
          <w:color w:val="000000"/>
          <w:sz w:val="18"/>
          <w:lang w:val="es-AR" w:eastAsia="es-AR" w:bidi="es-AR"/>
        </w:rPr>
        <w:t xml:space="preserve">                                         Presidente</w:t>
      </w:r>
    </w:p>
    <w:p>
      <w:pPr>
        <w:pStyle w:val="[Normal]"/>
        <w:jc w:val="center"/>
        <w:rPr>
          <w:b/>
          <w:color w:val="000000"/>
          <w:sz w:val="18"/>
          <w:lang w:val="es-AR" w:eastAsia="es-AR" w:bidi="es-AR"/>
        </w:rPr>
      </w:pPr>
      <w:r>
        <w:rPr>
          <w:b/>
          <w:color w:val="000000"/>
          <w:sz w:val="18"/>
          <w:lang w:val="es-AR" w:eastAsia="es-AR" w:bidi="es-AR"/>
        </w:rPr>
        <w:t xml:space="preserve">                                   Cámara de Apelación  en lo Civil y Comercial </w:t>
      </w:r>
    </w:p>
    <w:p>
      <w:pPr>
        <w:pStyle w:val="[Normal]"/>
        <w:jc w:val="center"/>
        <w:rPr>
          <w:b/>
          <w:color w:val="000000"/>
          <w:sz w:val="18"/>
          <w:lang w:val="es-AR" w:eastAsia="es-AR" w:bidi="es-AR"/>
        </w:rPr>
      </w:pPr>
      <w:r>
        <w:rPr>
          <w:b/>
          <w:color w:val="000000"/>
          <w:sz w:val="18"/>
          <w:lang w:val="es-AR" w:eastAsia="es-AR" w:bidi="es-AR"/>
        </w:rPr>
        <w:t xml:space="preserve">                                        Dpto. Judicial Pergamino </w:t>
      </w: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Graciela Scaraffia                                     </w:t>
      </w:r>
    </w:p>
    <w:p>
      <w:pPr>
        <w:pStyle w:val="[Normal]"/>
        <w:jc w:val="both"/>
        <w:rPr>
          <w:b/>
          <w:color w:val="000000"/>
          <w:sz w:val="18"/>
          <w:lang w:val="es-AR" w:eastAsia="es-AR" w:bidi="es-AR"/>
        </w:rPr>
      </w:pPr>
      <w:r>
        <w:rPr>
          <w:b/>
          <w:color w:val="000000"/>
          <w:sz w:val="18"/>
          <w:lang w:val="es-AR" w:eastAsia="es-AR" w:bidi="es-AR"/>
        </w:rPr>
        <w:t xml:space="preserve">             Jueza</w:t>
      </w: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Luis María Bianco</w:t>
      </w:r>
    </w:p>
    <w:p>
      <w:pPr>
        <w:pStyle w:val="[Normal]"/>
        <w:jc w:val="both"/>
        <w:rPr>
          <w:color w:val="000000"/>
          <w:lang w:val="es-AR" w:eastAsia="es-AR" w:bidi="es-AR"/>
        </w:rPr>
      </w:pPr>
      <w:r>
        <w:rPr>
          <w:b/>
          <w:color w:val="000000"/>
          <w:sz w:val="18"/>
          <w:lang w:val="es-AR" w:eastAsia="es-AR" w:bidi="es-AR"/>
        </w:rPr>
        <w:t xml:space="preserve">                                                      Auxiliar Letrado</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