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	Registro N° 98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642/647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13 de agosto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3605-19</w:t>
      </w:r>
      <w:r>
        <w:rPr>
          <w:lang w:val="es-AR" w:eastAsia="es-AR" w:bidi="es-AR"/>
        </w:rPr>
        <w:t xml:space="preserve"> caratulada </w:t>
      </w:r>
      <w:r>
        <w:rPr>
          <w:b/>
          <w:lang w:val="es-AR" w:eastAsia="es-AR" w:bidi="es-AR"/>
        </w:rPr>
        <w:t xml:space="preserve">"</w:t>
      </w:r>
      <w:r>
        <w:rPr>
          <w:b/>
          <w:color w:val="000000"/>
          <w:lang w:val="es-AR" w:eastAsia="es-AR" w:bidi="es-AR"/>
        </w:rPr>
        <w:t xml:space="preserve">PEREZ GRISELDA MABEL Y OTRO/A  C/ PEREZ FERNANDEZ MATIAS Y OTRO/A  S/ PRESCRIPCION ADQUISITIVA LARGA</w:t>
      </w:r>
      <w:r>
        <w:rPr>
          <w:b/>
          <w:lang w:val="es-AR" w:eastAsia="es-AR" w:bidi="es-AR"/>
        </w:rPr>
        <w:t xml:space="preserve">"</w:t>
      </w:r>
      <w:r>
        <w:rPr>
          <w:lang w:val="es-AR" w:eastAsia="es-AR" w:bidi="es-AR"/>
        </w:rPr>
        <w:t xml:space="preserve">, Expte. </w:t>
      </w:r>
      <w:r>
        <w:rPr>
          <w:color w:val="000000"/>
          <w:lang w:val="es-AR" w:eastAsia="es-AR" w:bidi="es-AR"/>
        </w:rPr>
        <w:t xml:space="preserve">69.617</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Graciela Scaraffia y Roberto Degleue, y estudiados los autos se resolvió plantear y votar las siguientes: </w:t>
      </w:r>
    </w:p>
    <w:p>
      <w:pPr>
        <w:pStyle w:val="[Normal]"/>
        <w:spacing w:line="48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Graciela Scaraffia dijo: </w:t>
      </w:r>
    </w:p>
    <w:p>
      <w:pPr>
        <w:pStyle w:val="[Normal]"/>
        <w:spacing w:line="480" w:lineRule="auto"/>
        <w:ind w:firstLine="1134"/>
        <w:jc w:val="both"/>
        <w:rPr>
          <w:lang w:val="es-AR" w:eastAsia="es-AR" w:bidi="es-AR"/>
        </w:rPr>
      </w:pPr>
      <w:r>
        <w:rPr>
          <w:lang w:val="es-AR" w:eastAsia="es-AR" w:bidi="es-AR"/>
        </w:rPr>
        <w:t xml:space="preserve">El Sr. Juez de la anterior instancia hizo</w:t>
      </w:r>
      <w:r>
        <w:rPr>
          <w:color w:val="000000"/>
          <w:lang w:val="es-AR" w:eastAsia="es-AR" w:bidi="es-AR"/>
        </w:rPr>
        <w:t xml:space="preserve"> lugar a la demanda que por ADQUISICION DE DOMINIO POR POSESION VEINTIEÑAL, promoviera</w:t>
      </w:r>
      <w:r>
        <w:rPr>
          <w:lang w:val="es-AR" w:eastAsia="es-AR" w:bidi="es-AR"/>
        </w:rPr>
        <w:t xml:space="preserve"> Griselda Mabel Perez y  Teresa Olga Perez, con el patrocinio letrado del Dr. Guillermo Horacio Tezón contra el Sr. Matías Perez Fernández y/otros, a quien demandaran en su calidad de  titular registral de un bien inmueble identificado catastralmente como: Circ. IV, Secc. A, Mza. 28, Parc. 1 "a"; partida 082-012352 de la localidad de Rancagua, partido de Pergamino, con dominio inscripto bajo matricula 45.025 de Pergamino, cuyas medidas, linderos y demás datos surgen del plano que se acompaña (ver fs. 344) confeccionado por el Sr. Martín Torres y visado por la Dirección de Geodesia en fecha 15/03/2011.  </w:t>
      </w:r>
      <w:r>
        <w:rPr>
          <w:color w:val="000000"/>
          <w:lang w:val="es-AR" w:eastAsia="es-AR" w:bidi="es-AR"/>
        </w:rPr>
        <w:t xml:space="preserve">Ordenó que se inscriba el dominio a nombre de las actoras conjuntamente con el prementado plano de fs. 344, aprobado bajo la característica 82-15-2011, visado por Geodesia en fecha 15/03/2011, que se desglosará al efecto, previo cumplimiento de la resolución 13/68, 14/65 y 6/75 de la Comisión Coordinadora Permanente para el Registro de la Propiedad, Catastro, y Geodesia (art. 682 C.P.C.) y mandó a cancelar el anterior dominio a nombre de la parte demandada.  Con costas por su orden y comunes por mitades atento que los propietarios pierden su calidad de tal, frente a la adquisición del actor, sin responsabilidad real acreditada en el proceso.  Difirió la regulación de honorarios hasta tanto se cumpla con lo dispuesto en el art. 27 de la ley 8904 (art. 7 del C.C.C.N. y art. 1 dec. 522/17). -</w:t>
      </w:r>
    </w:p>
    <w:p>
      <w:pPr>
        <w:pStyle w:val="[Normal]"/>
        <w:spacing w:line="480" w:lineRule="auto"/>
        <w:ind w:firstLine="1134"/>
        <w:jc w:val="both"/>
        <w:rPr>
          <w:lang w:val="es-AR" w:eastAsia="es-AR" w:bidi="es-AR"/>
        </w:rPr>
      </w:pPr>
      <w:r>
        <w:rPr>
          <w:lang w:val="es-AR" w:eastAsia="es-AR" w:bidi="es-AR"/>
        </w:rPr>
        <w:t xml:space="preserve">Tal decisorio fue objeto del recurso de apelación por el Defensor Oficial en representación del demandado ausente a fs. 356, concedido libremente a fs. 357.  A fs. 361 se ordenó expresar agravios al Defensor Oficial, el que es agregado a fs. 362/364.  A fs. 365 se ordenó traslado del mismo a la actora.  A fs. 366/371 es evacuado el traslado conferido.  A fs. 372 llamamiento de autos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La crítica del apelante está dirigida contra el resolutorio al que califica de injusto, señalando que no se ha demostrado cabalmente ni el corpus ni el ánimus de dueño en la acción intentada.</w:t>
      </w:r>
    </w:p>
    <w:p>
      <w:pPr>
        <w:pStyle w:val="[Normal]"/>
        <w:spacing w:line="480" w:lineRule="auto"/>
        <w:ind w:firstLine="1134"/>
        <w:jc w:val="both"/>
        <w:rPr>
          <w:lang w:val="es-AR" w:eastAsia="es-AR" w:bidi="es-AR"/>
        </w:rPr>
      </w:pPr>
      <w:r>
        <w:rPr>
          <w:lang w:val="es-AR" w:eastAsia="es-AR" w:bidi="es-AR"/>
        </w:rPr>
        <w:t xml:space="preserve">Dice que la prescripción adquisitiva de dominio es un modo excepcional de adquirirlo, requiriéndose una prueba cabal, insospechada, contundente, que demuestre no sólo el corpus sino también el ánimo dado que supone apoderamiento de la cosa con ánimo de dueño (arts. 1909, 1922, 1923, 19828 y ccs del Cód. Civil.</w:t>
      </w:r>
    </w:p>
    <w:p>
      <w:pPr>
        <w:pStyle w:val="[Normal]"/>
        <w:spacing w:line="480" w:lineRule="auto"/>
        <w:ind w:firstLine="1134"/>
        <w:jc w:val="both"/>
        <w:rPr>
          <w:lang w:val="es-AR" w:eastAsia="es-AR" w:bidi="es-AR"/>
        </w:rPr>
      </w:pPr>
      <w:r>
        <w:rPr>
          <w:lang w:val="es-AR" w:eastAsia="es-AR" w:bidi="es-AR"/>
        </w:rPr>
        <w:t xml:space="preserve">Señala que en la especie, no se ha acreditado la detentación del inmueble a título de dueño, remarcando la insuficiencia de la prueba testimonial.  Respecto de la documental, reconoce que se han agregado recibos de pago pero no se verifica la periodicidad regular, afirmando que la mayoría fueron abonados en oportunidad inmediata anterior a la promoción de la demanda disminuyendo a su criterio la fuerza probatoria.</w:t>
      </w:r>
    </w:p>
    <w:p>
      <w:pPr>
        <w:pStyle w:val="[Normal]"/>
        <w:spacing w:line="480" w:lineRule="auto"/>
        <w:ind w:firstLine="1134"/>
        <w:jc w:val="both"/>
        <w:rPr>
          <w:lang w:val="es-AR" w:eastAsia="es-AR" w:bidi="es-AR"/>
        </w:rPr>
      </w:pPr>
      <w:r>
        <w:rPr>
          <w:lang w:val="es-AR" w:eastAsia="es-AR" w:bidi="es-AR"/>
        </w:rPr>
        <w:t xml:space="preserve">Señala en síntesis que la accionante no ha logrado satisfacer la carga probatoria que sobre ella pesaba.</w:t>
      </w:r>
    </w:p>
    <w:p>
      <w:pPr>
        <w:pStyle w:val="[Normal]"/>
        <w:spacing w:line="480" w:lineRule="auto"/>
        <w:ind w:firstLine="1134"/>
        <w:jc w:val="both"/>
        <w:rPr>
          <w:lang w:val="es-AR" w:eastAsia="es-AR" w:bidi="es-AR"/>
        </w:rPr>
      </w:pPr>
      <w:r>
        <w:rPr>
          <w:lang w:val="es-AR" w:eastAsia="es-AR" w:bidi="es-AR"/>
        </w:rPr>
        <w:t xml:space="preserve">A su turno la contraria solicita la desestimación del recurso deducido por la contraria y la confirmación de lo decidido por el aquo.</w:t>
      </w:r>
    </w:p>
    <w:p>
      <w:pPr>
        <w:pStyle w:val="[Normal]"/>
        <w:spacing w:line="480" w:lineRule="auto"/>
        <w:ind w:firstLine="1134"/>
        <w:jc w:val="both"/>
        <w:rPr>
          <w:lang w:val="es-AR" w:eastAsia="es-AR" w:bidi="es-AR"/>
        </w:rPr>
      </w:pPr>
      <w:r>
        <w:rPr>
          <w:lang w:val="es-AR" w:eastAsia="es-AR" w:bidi="es-AR"/>
        </w:rPr>
        <w:t xml:space="preserve">Expresa que se ha demostrado el pago de impuestos que datan del año 1990 (fs. 86/116), siendo éstos uno de los primeros pagos acreditados, la circunstancia de que todo el grupo familiar hizo uso de la propiedad tanto así que los servicios de electricidad se encontraban a nombre de uno de los cónyuges de las accionantes durante todo el transcurso del tiempo (fs. 118, 119/138).Y menciona que la constatación de fs. 326/328 también ha logrado acreditar que el inmueble fue ocupado por las desde el año 1994 completándose con la declaración testimonial.</w:t>
      </w:r>
    </w:p>
    <w:p>
      <w:pPr>
        <w:pStyle w:val="[Normal]"/>
        <w:spacing w:line="480" w:lineRule="auto"/>
        <w:ind w:firstLine="1134"/>
        <w:jc w:val="both"/>
        <w:rPr>
          <w:lang w:val="es-AR" w:eastAsia="es-AR" w:bidi="es-AR"/>
        </w:rPr>
      </w:pPr>
      <w:r>
        <w:rPr>
          <w:lang w:val="es-AR" w:eastAsia="es-AR" w:bidi="es-AR"/>
        </w:rPr>
        <w:t xml:space="preserve">Contrariamente a lo sostenido por el quejoso, expresar que se detentó en todo el transcurso del tiempo el corpus y el animus puesto que se portó como dueña de la cosa y realizó en ella cuanto acto quiso, realizó pago de impuestos de manera periódica, mejoras, vivió en ella y hasta explotó durante más de 20 años un negocio de venta de pollos y comidas y los restantes servicios que menciona.  Pide se rechaze el recurso, con costas.-</w:t>
      </w:r>
    </w:p>
    <w:p>
      <w:pPr>
        <w:pStyle w:val="[Normal]"/>
        <w:spacing w:line="480" w:lineRule="auto"/>
        <w:ind w:firstLine="1134"/>
        <w:jc w:val="both"/>
        <w:rPr>
          <w:lang w:val="es-AR" w:eastAsia="es-AR" w:bidi="es-AR"/>
        </w:rPr>
      </w:pPr>
      <w:r>
        <w:rPr>
          <w:lang w:val="es-AR" w:eastAsia="es-AR" w:bidi="es-AR"/>
        </w:rPr>
        <w:t xml:space="preserve">Estudiada la causa y a los fines del encuadre normativo del tema debo señalar que la usucapión o prescripción veinteañal o extraordinaria, se encuentra reglada como modo especial de adquirir el dominio en nuestro Código Civil Unificado, posibilitando la obtención de un título supletorio de dominio cuando quien lo solicita ostenta la condición de poseedor con los requisitos exigidos en los arts. 1909, 1922, 1923, 1928 del Código Civil Unificado.</w:t>
      </w:r>
    </w:p>
    <w:p>
      <w:pPr>
        <w:pStyle w:val="[Normal]"/>
        <w:spacing w:line="480" w:lineRule="auto"/>
        <w:ind w:firstLine="1134"/>
        <w:jc w:val="both"/>
        <w:rPr>
          <w:lang w:val="es-AR" w:eastAsia="es-AR" w:bidi="es-AR"/>
        </w:rPr>
      </w:pPr>
      <w:r>
        <w:rPr>
          <w:lang w:val="es-AR" w:eastAsia="es-AR" w:bidi="es-AR"/>
        </w:rPr>
        <w:t xml:space="preserve">Claramente lo resume Morello cuando expresa "La prescripción adquisitiva o usucapión, que constituye un modo de adquirir o consolidar una adquisición de la propiedad (una situación de hecho se transforma en una situación de derecho), ha sido organizada tanto por la ley de fondo como por los ordenamientos locales, como un procedimiento contencioso que lleva la intención de evitar las informaciones voluntarias falsas y la validez </w:t>
      </w:r>
      <w:r>
        <w:rPr>
          <w:i/>
          <w:lang w:val="es-AR" w:eastAsia="es-AR" w:bidi="es-AR"/>
        </w:rPr>
        <w:t xml:space="preserve">erga omnes</w:t>
      </w:r>
      <w:r>
        <w:rPr>
          <w:lang w:val="es-AR" w:eastAsia="es-AR" w:bidi="es-AR"/>
        </w:rPr>
        <w:t xml:space="preserve">de los títulos creados (Cfr. Gómez, </w:t>
      </w:r>
      <w:r>
        <w:rPr>
          <w:i/>
          <w:lang w:val="es-AR" w:eastAsia="es-AR" w:bidi="es-AR"/>
        </w:rPr>
        <w:t xml:space="preserve">El Régimen procesal de la prescripción</w:t>
      </w:r>
      <w:r>
        <w:rPr>
          <w:lang w:val="es-AR" w:eastAsia="es-AR" w:bidi="es-AR"/>
        </w:rPr>
        <w:t xml:space="preserve">, La Ley, v. 86, p.897; Colombo </w:t>
      </w:r>
      <w:r>
        <w:rPr>
          <w:i/>
          <w:lang w:val="es-AR" w:eastAsia="es-AR" w:bidi="es-AR"/>
        </w:rPr>
        <w:t xml:space="preserve">El justo título en materia prescriptiva</w:t>
      </w:r>
      <w:r>
        <w:rPr>
          <w:lang w:val="es-AR" w:eastAsia="es-AR" w:bidi="es-AR"/>
        </w:rPr>
        <w:t xml:space="preserve">, La Ley, v. 80, p. 741, nro 12). Primero la ley nacional 14.159 (arts. 24 y 25) incorporó al Código Civil reglas a las cuales debieron sujetarse los juicios de prescripción adquisitiva de inmuebles, cuya constitucionalidad dentro de nuestro régimen federal fue reiteradamente sostenida (CSN, Fallos, 138:57; 162:1376; 190:124: 211:410 SCBA, Juris. Arg. 1961, v. III, p. 473), luego en el ámbito local la ley 7036 modificó los arts. 780 y sig. del código de procedimiento, derogando así un proceso voluntario, y reemplazándolo por uno contencioso, y por último la ley 7425 al sancionar el nuevo Código para la Pcia. de Buenos Aires ha regulado la adquisición del dominio por usucapión como un proceso especial, que se rige supletoriamente por las reglas previstas para los procesos plenarios abreviados (arts. 679-682)" Cfr Morello, Cód. Procesales, T VII-B, pág. 308.-</w:t>
      </w:r>
    </w:p>
    <w:p>
      <w:pPr>
        <w:pStyle w:val="[Normal]"/>
        <w:spacing w:line="480" w:lineRule="auto"/>
        <w:ind w:firstLine="1134"/>
        <w:jc w:val="both"/>
        <w:rPr>
          <w:lang w:val="es-AR" w:eastAsia="es-AR" w:bidi="es-AR"/>
        </w:rPr>
      </w:pPr>
      <w:r>
        <w:rPr>
          <w:lang w:val="es-AR" w:eastAsia="es-AR" w:bidi="es-AR"/>
        </w:rPr>
        <w:t xml:space="preserve">No resulta ocioso recordar estas premisas que si bien fueron recogidas en el anterior sistema normativo claramente explican la compatibilización del régimen fondal con el ritual y las exigencias en materia probatoria que no excluyen los sistemas de apreciación contenidos en las leyes procesales, que las sucesivas reformas fueron ordenando.-</w:t>
      </w:r>
    </w:p>
    <w:p>
      <w:pPr>
        <w:pStyle w:val="[Normal]"/>
        <w:spacing w:line="480" w:lineRule="auto"/>
        <w:ind w:firstLine="1134"/>
        <w:jc w:val="both"/>
        <w:rPr>
          <w:lang w:val="es-AR" w:eastAsia="es-AR" w:bidi="es-AR"/>
        </w:rPr>
      </w:pPr>
      <w:r>
        <w:rPr>
          <w:lang w:val="es-AR" w:eastAsia="es-AR" w:bidi="es-AR"/>
        </w:rPr>
        <w:t xml:space="preserve">Es que tal como se ha señalado en numerosos fallos "La prueba tendiente a acreditar la posesión debe reunir condiciones sustanciales de exactitud, precisión y claridad, ser plena e indubitable y apreciarse con criterio restrictivo" RSD-18- 4 S, 15-6-2004.-</w:t>
      </w:r>
    </w:p>
    <w:p>
      <w:pPr>
        <w:pStyle w:val="[Normal]"/>
        <w:spacing w:line="480" w:lineRule="auto"/>
        <w:ind w:firstLine="1134"/>
        <w:jc w:val="both"/>
        <w:rPr>
          <w:lang w:val="es-AR" w:eastAsia="es-AR" w:bidi="es-AR"/>
        </w:rPr>
      </w:pPr>
      <w:r>
        <w:rPr>
          <w:lang w:val="es-AR" w:eastAsia="es-AR" w:bidi="es-AR"/>
        </w:rPr>
        <w:t xml:space="preserve">Y a mayor abundamiento "Siendo que la posesión comprende la ideal del poder efectivo sobre la cosa (corpus) acompañado de un propósito íntimo por parte del sujeto, de someterla al ejercicio de un derecho de propiedad (animus domini), incumbe a quien pretende adquirir el dominio mediante la prescripción adquisitiva acreditar la concurrencia de ambos elementos, los que revisten carácter constitutivo de su acción (arts. 375 y 679 del Digesto de forma).  Sentado ello débese remarcar que la ley 14.159 -art. 24- y el decreto ley 5756/58, solamente exigen que el fallo no se base exclusivamente en prueba testimonial siendo menester que se vea corroborada por evidencias de otro tipo que permitan obtener la composición probatoria requerida" RSD-61-4,S, 16-3-2004.</w:t>
      </w:r>
    </w:p>
    <w:p>
      <w:pPr>
        <w:pStyle w:val="[Normal]"/>
        <w:spacing w:line="480" w:lineRule="auto"/>
        <w:ind w:firstLine="1134"/>
        <w:jc w:val="both"/>
        <w:rPr>
          <w:lang w:val="es-AR" w:eastAsia="es-AR" w:bidi="es-AR"/>
        </w:rPr>
      </w:pPr>
      <w:r>
        <w:rPr>
          <w:lang w:val="es-AR" w:eastAsia="es-AR" w:bidi="es-AR"/>
        </w:rPr>
        <w:t xml:space="preserve">Precisamente este resulta ser el punto relevante de los agravios sostenidos por el recurrente, y adentrándome en el análisis crítico de las cuestiones esenciales que los conforman se advierte que se pone en crisis la valoración de la prueba testimonial y documental, que el aquo ha recogido junto con el acta de constatación así como los recibos que dan cuenta del pago de servicios municipales e impuestos provinciales, todos ellos evaluados en su sentencia.</w:t>
      </w:r>
    </w:p>
    <w:p>
      <w:pPr>
        <w:pStyle w:val="[Normal]"/>
        <w:spacing w:line="480" w:lineRule="auto"/>
        <w:ind w:firstLine="1134"/>
        <w:jc w:val="both"/>
        <w:rPr>
          <w:lang w:val="es-AR" w:eastAsia="es-AR" w:bidi="es-AR"/>
        </w:rPr>
      </w:pPr>
      <w:r>
        <w:rPr>
          <w:lang w:val="es-AR" w:eastAsia="es-AR" w:bidi="es-AR"/>
        </w:rPr>
        <w:t xml:space="preserve">En principio debo reiterar el criterio de este Tribunal en anterior composición, que va en consonancia con la jurisprudencia bonaerense y que comparto plenamente que "tratándose la usucapión de un modo excepcional de adquirir la propiedad, la prueba debe ser concluyente, reuniendo condiciones sustanciales de exactitud, precisión y claridad, y las pautas para su apreciación estrictas, exigiéndose apoyo formal, serio y convincente, respecto a la posesión del </w:t>
      </w:r>
      <w:r>
        <w:rPr>
          <w:i/>
          <w:lang w:val="es-AR" w:eastAsia="es-AR" w:bidi="es-AR"/>
        </w:rPr>
        <w:t xml:space="preserve">ánimus domini </w:t>
      </w:r>
      <w:r>
        <w:rPr>
          <w:lang w:val="es-AR" w:eastAsia="es-AR" w:bidi="es-AR"/>
        </w:rPr>
        <w:t xml:space="preserve">y a su antigüedad" y "la prueba testifical mantiene todo su valor y por lo general resulta la más apta para acreditar las afirmaciones del demandante, puesto que posibilita la reconstrucción de los hechos a través del lapso posesorio pero debe confrontarse con otras pruebas que reflejen esos mismos hechos" Cfr CAP Exptes. C- 1196/93; C-1158/93.  En el mismo sentido se ha expedido nuestro Superior Tribunal al referir "No es dable acoger una demanda por usucapión en base -únicamente- a la prueba testimonial" Cfr Ac. 33559; 40137.  Finalmente cuadra continuar citando a la SCBA desde que también sobre el restante aspecto de la sentencia determinante de la decisión primera ha expresado "La prueba del inicio de la posesión es el único medio hábil para satisfacer la exigencia temporal contenida en el art. 4015 del C.C. Cfr Ac. 32.512, 33.628, 39.285" CAP Reg. Nro. 24, F 98/100 voto del Dr. Hugo Levato.-</w:t>
      </w:r>
    </w:p>
    <w:p>
      <w:pPr>
        <w:pStyle w:val="[Normal]"/>
        <w:spacing w:line="480" w:lineRule="auto"/>
        <w:ind w:firstLine="1134"/>
        <w:jc w:val="both"/>
        <w:rPr>
          <w:lang w:val="es-AR" w:eastAsia="es-AR" w:bidi="es-AR"/>
        </w:rPr>
      </w:pPr>
      <w:r>
        <w:rPr>
          <w:lang w:val="es-AR" w:eastAsia="es-AR" w:bidi="es-AR"/>
        </w:rPr>
        <w:t xml:space="preserve">Más en la especie este examen de rigurosidad expuesto ha sido superado ampliamente por el accionante, maguer el disgusto del Defensor oficial, porque a poco de repasar la valoración probatoria que atinadamente realizara el juez de grado para admitir la pretensión, surge que se han arrimado numerosos elementos de prueba, que complementados unos con los otros dan por resultado la certeza que se exige para alcanzar el resultado pretendido en la demanda (artt. 375 del CPCC y su doctrina).-</w:t>
      </w:r>
    </w:p>
    <w:p>
      <w:pPr>
        <w:pStyle w:val="[Normal]"/>
        <w:spacing w:line="480" w:lineRule="auto"/>
        <w:ind w:firstLine="1134"/>
        <w:jc w:val="both"/>
        <w:rPr>
          <w:lang w:val="es-AR" w:eastAsia="es-AR" w:bidi="es-AR"/>
        </w:rPr>
      </w:pPr>
      <w:r>
        <w:rPr>
          <w:lang w:val="es-AR" w:eastAsia="es-AR" w:bidi="es-AR"/>
        </w:rPr>
        <w:t xml:space="preserve">Cierto es que en materia de usucapión la prueba testimonial es la más importante y convincente, porque tiende a acreditar hechos materiales (art. 24 inc c Ley 14.159, pero a su vez se ha exigido con justificada desconfianza que dicha prueba se vea reforzada, completada y corroborada con otros elementos o datos probatorios objetivos e independientes, que permitan inferir sin duda alguna, el ánimo de dueño.-</w:t>
      </w:r>
    </w:p>
    <w:p>
      <w:pPr>
        <w:pStyle w:val="[Normal]"/>
        <w:spacing w:line="480" w:lineRule="auto"/>
        <w:ind w:firstLine="1134"/>
        <w:jc w:val="both"/>
        <w:rPr>
          <w:lang w:val="es-AR" w:eastAsia="es-AR" w:bidi="es-AR"/>
        </w:rPr>
      </w:pPr>
      <w:r>
        <w:rPr>
          <w:lang w:val="es-AR" w:eastAsia="es-AR" w:bidi="es-AR"/>
        </w:rPr>
        <w:t xml:space="preserve">Así se ha evaluado los dichos de los testimonios rendidos a fs 313/315 siendo contestes todos ellos en afirmar que las actoras poseen el inmueble a título de dueñas en forma pública, pacífica e ininterrumpida durante más de 20 años, concordaron también en describir los actos posesorios realizados tales como mantenimiento, plantación de árboles, una galería, colocación de ventanas nuevas, negocios de comercialización de pollos y verduras, manteniéndolo en buen estado de conservación.-</w:t>
      </w:r>
    </w:p>
    <w:p>
      <w:pPr>
        <w:pStyle w:val="[Normal]"/>
        <w:spacing w:line="480" w:lineRule="auto"/>
        <w:ind w:firstLine="1134"/>
        <w:jc w:val="both"/>
        <w:rPr>
          <w:lang w:val="es-AR" w:eastAsia="es-AR" w:bidi="es-AR"/>
        </w:rPr>
      </w:pPr>
      <w:r>
        <w:rPr>
          <w:lang w:val="es-AR" w:eastAsia="es-AR" w:bidi="es-AR"/>
        </w:rPr>
        <w:t xml:space="preserve">A ello se aduna la valoración del aquo efectuada sobre la prueba documental, o sea los recibos de pago de impuestos inmobiliarios correspondiendo el primero de ellos al año 1990 (fs. 86/116), los recibos de limpieza y conservación de vía pública, de alumbrado, siendo el primero de ellos correspondiente al período 1-1995 (fs. 12/84 y 140/208) , la constancia de servicio eléctrico de fs. 119/138 acreditándose que la conexión está a nombre de una de las actoras.-</w:t>
      </w:r>
    </w:p>
    <w:p>
      <w:pPr>
        <w:pStyle w:val="[Normal]"/>
        <w:spacing w:line="480" w:lineRule="auto"/>
        <w:ind w:firstLine="1134"/>
        <w:jc w:val="both"/>
        <w:rPr>
          <w:lang w:val="es-AR" w:eastAsia="es-AR" w:bidi="es-AR"/>
        </w:rPr>
      </w:pPr>
      <w:r>
        <w:rPr>
          <w:lang w:val="es-AR" w:eastAsia="es-AR" w:bidi="es-AR"/>
        </w:rPr>
        <w:t xml:space="preserve">La prueba informativa de fs. 326/328 donde se acredita que la ocupación de las accionantes data del año 1994.  A ello se agrega el acta de reconocimiento judicial, la presentación de planos de fs. 344, aprobado bajo la característica 82-15-2011 y visado por geodesia en fecha 15/03/2011.-</w:t>
      </w:r>
    </w:p>
    <w:p>
      <w:pPr>
        <w:pStyle w:val="[Normal]"/>
        <w:spacing w:line="480" w:lineRule="auto"/>
        <w:ind w:firstLine="1134"/>
        <w:jc w:val="both"/>
        <w:rPr>
          <w:lang w:val="es-AR" w:eastAsia="es-AR" w:bidi="es-AR"/>
        </w:rPr>
      </w:pPr>
      <w:r>
        <w:rPr>
          <w:lang w:val="es-AR" w:eastAsia="es-AR" w:bidi="es-AR"/>
        </w:rPr>
        <w:t xml:space="preserve">Entiendo que la actividad realizada por el juez de grado ha sido atinada recogiendo todos los elementos que permitieron la acreditación del corpus y el ánimus exigidos para procedencia del instituto y en total conformidad con lo normado por el art. 384 del CPCC y su doctrina.</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Desestimar el recurso de apelación deducido por el Defensor Oficial Subrogante y confirmar la sentencia de grado en todas sus partes.-</w:t>
      </w:r>
    </w:p>
    <w:p>
      <w:pPr>
        <w:pStyle w:val="[Normal]"/>
        <w:spacing w:line="480" w:lineRule="auto"/>
        <w:ind w:firstLine="1134"/>
        <w:jc w:val="both"/>
        <w:rPr>
          <w:lang w:val="es-AR" w:eastAsia="es-AR" w:bidi="es-AR"/>
        </w:rPr>
      </w:pPr>
      <w:r>
        <w:rPr>
          <w:lang w:val="es-AR" w:eastAsia="es-AR" w:bidi="es-AR"/>
        </w:rPr>
        <w:t xml:space="preserve">Las costas de Alzada se imponen del mismo modo que las de primera instancia</w:t>
      </w:r>
    </w:p>
    <w:p>
      <w:pPr>
        <w:pStyle w:val="[Normal]"/>
        <w:spacing w:line="480" w:lineRule="auto"/>
        <w:ind w:firstLine="1134"/>
        <w:jc w:val="both"/>
        <w:rPr>
          <w:lang w:val="es-AR" w:eastAsia="es-AR" w:bidi="es-AR"/>
        </w:rPr>
      </w:pPr>
      <w:r>
        <w:rPr>
          <w:b/>
          <w:lang w:val="es-AR" w:eastAsia="es-AR" w:bidi="es-AR"/>
        </w:rPr>
        <w:t xml:space="preserve">ASI LO VOTO</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lang w:val="es-AR" w:eastAsia="es-AR" w:bidi="es-AR"/>
        </w:rPr>
      </w:pPr>
      <w:r>
        <w:rPr>
          <w:b/>
          <w:lang w:val="es-AR" w:eastAsia="es-AR" w:bidi="es-AR"/>
        </w:rPr>
        <w:t xml:space="preserve">S E N T E N C I A</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Desestimar el recurso de apelación deducido por el Defensor oficial Subrogante y confirmar la sentencia de grado en todas sus partes.-</w:t>
      </w:r>
    </w:p>
    <w:p>
      <w:pPr>
        <w:pStyle w:val="[Normal]"/>
        <w:spacing w:line="480" w:lineRule="auto"/>
        <w:ind w:firstLine="1134"/>
        <w:jc w:val="both"/>
        <w:rPr>
          <w:lang w:val="es-AR" w:eastAsia="es-AR" w:bidi="es-AR"/>
        </w:rPr>
      </w:pPr>
      <w:r>
        <w:rPr>
          <w:lang w:val="es-AR" w:eastAsia="es-AR" w:bidi="es-AR"/>
        </w:rPr>
        <w:t xml:space="preserve">Las costas de Alzada se imponen del mismo modo que las de primera instancia.</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ind w:firstLine="1134"/>
        <w:jc w:val="center"/>
        <w:rPr>
          <w:color w:val="000000"/>
          <w:sz w:val="20"/>
          <w:lang w:val="es-AR" w:eastAsia="es-AR" w:bidi="es-AR"/>
        </w:rPr>
      </w:pPr>
      <w:r>
        <w:rPr>
          <w:color w:val="000000"/>
          <w:sz w:val="20"/>
          <w:lang w:val="es-AR" w:eastAsia="es-AR" w:bidi="es-AR"/>
        </w:rPr>
        <w:t xml:space="preserve">Roberto Manuel DEGLEUE</w:t>
      </w:r>
    </w:p>
    <w:p>
      <w:pPr>
        <w:pStyle w:val="[Normal]"/>
        <w:ind w:firstLine="1134"/>
        <w:jc w:val="center"/>
        <w:rPr>
          <w:color w:val="000000"/>
          <w:sz w:val="20"/>
          <w:lang w:val="es-AR" w:eastAsia="es-AR" w:bidi="es-AR"/>
        </w:rPr>
      </w:pPr>
      <w:r>
        <w:rPr>
          <w:color w:val="000000"/>
          <w:sz w:val="20"/>
          <w:lang w:val="es-AR" w:eastAsia="es-AR" w:bidi="es-AR"/>
        </w:rPr>
        <w:t xml:space="preserve">Presidente Excma. Cámara de</w:t>
      </w:r>
    </w:p>
    <w:p>
      <w:pPr>
        <w:pStyle w:val="[Normal]"/>
        <w:ind w:firstLine="1134"/>
        <w:jc w:val="center"/>
        <w:rPr>
          <w:color w:val="000000"/>
          <w:sz w:val="20"/>
          <w:lang w:val="es-AR" w:eastAsia="es-AR" w:bidi="es-AR"/>
        </w:rPr>
      </w:pPr>
      <w:r>
        <w:rPr>
          <w:color w:val="000000"/>
          <w:sz w:val="20"/>
          <w:lang w:val="es-AR" w:eastAsia="es-AR" w:bidi="es-AR"/>
        </w:rPr>
        <w:t xml:space="preserve">Apelación en lo Civil y Comercial </w:t>
      </w:r>
    </w:p>
    <w:p>
      <w:pPr>
        <w:pStyle w:val="[Normal]"/>
        <w:ind w:firstLine="1134"/>
        <w:jc w:val="center"/>
        <w:rPr>
          <w:color w:val="000000"/>
          <w:sz w:val="20"/>
          <w:lang w:val="es-AR" w:eastAsia="es-AR" w:bidi="es-AR"/>
        </w:rPr>
      </w:pPr>
      <w:r>
        <w:rPr>
          <w:color w:val="000000"/>
          <w:sz w:val="20"/>
          <w:lang w:val="es-AR" w:eastAsia="es-AR" w:bidi="es-AR"/>
        </w:rPr>
        <w:t xml:space="preserve">Dpto. Judicial Pergamino</w:t>
      </w:r>
    </w:p>
    <w:p>
      <w:pPr>
        <w:pStyle w:val="[Normal]"/>
        <w:ind w:firstLine="1134"/>
        <w:jc w:val="both"/>
        <w:rPr>
          <w:color w:val="000000"/>
          <w:sz w:val="20"/>
          <w:lang w:val="es-AR" w:eastAsia="es-AR" w:bidi="es-AR"/>
        </w:rPr>
      </w:pPr>
    </w:p>
    <w:p>
      <w:pPr>
        <w:pStyle w:val="[Normal]"/>
        <w:ind w:firstLine="1134"/>
        <w:jc w:val="both"/>
        <w:rPr>
          <w:b/>
          <w:color w:val="000000"/>
          <w:sz w:val="20"/>
          <w:lang w:val="es-AR" w:eastAsia="es-AR" w:bidi="es-AR"/>
        </w:rPr>
      </w:pPr>
    </w:p>
    <w:p>
      <w:pPr>
        <w:pStyle w:val="[Normal]"/>
        <w:ind w:firstLine="1134"/>
        <w:jc w:val="both"/>
        <w:rPr>
          <w:b/>
          <w:color w:val="000000"/>
          <w:sz w:val="20"/>
          <w:lang w:val="es-AR" w:eastAsia="es-AR" w:bidi="es-AR"/>
        </w:rPr>
      </w:pPr>
    </w:p>
    <w:p>
      <w:pPr>
        <w:pStyle w:val="[Normal]"/>
        <w:ind w:firstLine="1134"/>
        <w:jc w:val="both"/>
        <w:rPr>
          <w:b/>
          <w:color w:val="000000"/>
          <w:sz w:val="20"/>
          <w:lang w:val="es-AR" w:eastAsia="es-AR" w:bidi="es-AR"/>
        </w:rPr>
      </w:pPr>
      <w:r>
        <w:rPr>
          <w:b/>
          <w:color w:val="000000"/>
          <w:sz w:val="20"/>
          <w:lang w:val="es-AR" w:eastAsia="es-AR" w:bidi="es-AR"/>
        </w:rPr>
        <w:t xml:space="preserve">Graciela SCARAFFIA                                        </w:t>
      </w:r>
    </w:p>
    <w:p>
      <w:pPr>
        <w:pStyle w:val="[Normal]"/>
        <w:ind w:firstLine="1134"/>
        <w:jc w:val="both"/>
        <w:rPr>
          <w:color w:val="000000"/>
          <w:sz w:val="20"/>
          <w:lang w:val="es-AR" w:eastAsia="es-AR" w:bidi="es-AR"/>
        </w:rPr>
      </w:pPr>
      <w:r>
        <w:rPr>
          <w:b/>
          <w:color w:val="000000"/>
          <w:sz w:val="20"/>
          <w:lang w:val="es-AR" w:eastAsia="es-AR" w:bidi="es-AR"/>
        </w:rPr>
        <w:t xml:space="preserve">     Jueza </w:t>
      </w:r>
    </w:p>
    <w:p>
      <w:pPr>
        <w:pStyle w:val="[Normal]"/>
        <w:ind w:firstLine="1134"/>
        <w:jc w:val="both"/>
        <w:rPr>
          <w:b/>
          <w:color w:val="000000"/>
          <w:sz w:val="20"/>
          <w:lang w:val="es-AR" w:eastAsia="es-AR" w:bidi="es-AR"/>
        </w:rPr>
      </w:pPr>
      <w:r>
        <w:rPr>
          <w:b/>
          <w:color w:val="000000"/>
          <w:sz w:val="20"/>
          <w:lang w:val="es-AR" w:eastAsia="es-AR" w:bidi="es-AR"/>
        </w:rPr>
        <w:t xml:space="preserve">				Luis María BIANCO</w:t>
      </w:r>
    </w:p>
    <w:p>
      <w:pPr>
        <w:pStyle w:val="[Normal]"/>
        <w:rPr>
          <w:b/>
          <w:color w:val="000000"/>
          <w:sz w:val="20"/>
          <w:lang w:val="es-AR" w:eastAsia="es-AR" w:bidi="es-AR"/>
        </w:rPr>
      </w:pPr>
      <w:r>
        <w:rPr>
          <w:b/>
          <w:color w:val="000000"/>
          <w:sz w:val="20"/>
          <w:lang w:val="es-AR" w:eastAsia="es-AR" w:bidi="es-AR"/>
        </w:rPr>
        <w:t xml:space="preserve">				Auxiliar Letrado</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