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4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25/34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7 de febrero de 2020, reunidos en Acuerdo Ordinario los Sres. Jueces de la Excma. Cámara de Apelación en lo Civil y Comercial del Departamento Judicial Pergamino, para dictar sentencia en la causa N° </w:t>
      </w:r>
      <w:r>
        <w:rPr>
          <w:color w:val="000000"/>
          <w:lang w:val="es-AR" w:eastAsia="es-AR" w:bidi="es-AR"/>
        </w:rPr>
        <w:t xml:space="preserve">3641-19</w:t>
      </w:r>
      <w:r>
        <w:rPr>
          <w:lang w:val="es-AR" w:eastAsia="es-AR" w:bidi="es-AR"/>
        </w:rPr>
        <w:t xml:space="preserve"> caratulada </w:t>
      </w:r>
      <w:r>
        <w:rPr>
          <w:b/>
          <w:lang w:val="es-AR" w:eastAsia="es-AR" w:bidi="es-AR"/>
        </w:rPr>
        <w:t xml:space="preserve">"</w:t>
      </w:r>
      <w:r>
        <w:rPr>
          <w:b/>
          <w:color w:val="000000"/>
          <w:lang w:val="es-AR" w:eastAsia="es-AR" w:bidi="es-AR"/>
        </w:rPr>
        <w:t xml:space="preserve">VELAZQUEZ LISANDRO RAMON C/ RAMUNNO RICARDO JORGE Y OTRO/A S/ DAÑOS Y PERJ.AUTOM. C/LES. O MUERTE (EXC.ESTADO)</w:t>
      </w:r>
      <w:r>
        <w:rPr>
          <w:b/>
          <w:lang w:val="es-AR" w:eastAsia="es-AR" w:bidi="es-AR"/>
        </w:rPr>
        <w:t xml:space="preserve">"</w:t>
      </w:r>
      <w:r>
        <w:rPr>
          <w:lang w:val="es-AR" w:eastAsia="es-AR" w:bidi="es-AR"/>
        </w:rPr>
        <w:t xml:space="preserve">, Expte. N° 81.237 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Roberto Manuel Degleue y Greciela Scaraffía,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rechazando la demanda entablada por Lisandro Ramón Velázquez, imponiéndole las costas y regulando honorarios a los letrados, peritos y mediadora judicial intervinientes.</w:t>
      </w:r>
    </w:p>
    <w:p>
      <w:pPr>
        <w:pStyle w:val="[Normal]"/>
        <w:spacing w:line="480" w:lineRule="auto"/>
        <w:ind w:firstLine="1134"/>
        <w:jc w:val="both"/>
        <w:rPr>
          <w:lang w:val="es-AR" w:eastAsia="es-AR" w:bidi="es-AR"/>
        </w:rPr>
      </w:pPr>
      <w:r>
        <w:rPr>
          <w:lang w:val="es-AR" w:eastAsia="es-AR" w:bidi="es-AR"/>
        </w:rPr>
        <w:t xml:space="preserve">Apeló la parte actora en el escrito agregado a fs. 176, quien expresó sus agravios a fs. 206/10.</w:t>
      </w:r>
    </w:p>
    <w:p>
      <w:pPr>
        <w:pStyle w:val="[Normal]"/>
        <w:spacing w:line="480" w:lineRule="auto"/>
        <w:ind w:firstLine="1134"/>
        <w:jc w:val="both"/>
        <w:rPr>
          <w:lang w:val="es-AR" w:eastAsia="es-AR" w:bidi="es-AR"/>
        </w:rPr>
      </w:pPr>
      <w:r>
        <w:rPr>
          <w:lang w:val="es-AR" w:eastAsia="es-AR" w:bidi="es-AR"/>
        </w:rPr>
        <w:t xml:space="preserve">Luego de realizar un introito, comienza su crítica el apelante afirmando que realiza el </w:t>
      </w:r>
      <w:r>
        <w:rPr>
          <w:i/>
          <w:lang w:val="es-AR" w:eastAsia="es-AR" w:bidi="es-AR"/>
        </w:rPr>
        <w:t xml:space="preserve">a-quo</w:t>
      </w:r>
      <w:r>
        <w:rPr>
          <w:lang w:val="es-AR" w:eastAsia="es-AR" w:bidi="es-AR"/>
        </w:rPr>
        <w:t xml:space="preserve"> un análisis reduccionista de la Ley 24.449 -respecto de lo reglado en cuanto a la prioridad de paso- que utiliza como fundamento para rechazar la demanda, que debió efectuar una lectura más amplia y abarcativa de la norma, evaluándola en su totalidad y poniendo en juego los restantes elementos.</w:t>
      </w:r>
    </w:p>
    <w:p>
      <w:pPr>
        <w:pStyle w:val="[Normal]"/>
        <w:spacing w:line="480" w:lineRule="auto"/>
        <w:ind w:firstLine="1134"/>
        <w:jc w:val="both"/>
        <w:rPr>
          <w:lang w:val="es-AR" w:eastAsia="es-AR" w:bidi="es-AR"/>
        </w:rPr>
      </w:pPr>
      <w:r>
        <w:rPr>
          <w:lang w:val="es-AR" w:eastAsia="es-AR" w:bidi="es-AR"/>
        </w:rPr>
        <w:t xml:space="preserve">Luego de consignar antecedentes jurisprudenciales de la SCBA, sostiene que la prioridad de paso no constituye un bill de indemnidad a favor de quien viene circulando por la derecha ya que sin perjuicio de ella, el conductor al llegar a la bocacalle debe reducir la velocidad para atender la posible presencia de otro vehículo, manteniendo el dominio de su rodado.</w:t>
      </w:r>
    </w:p>
    <w:p>
      <w:pPr>
        <w:pStyle w:val="[Normal]"/>
        <w:spacing w:line="480" w:lineRule="auto"/>
        <w:ind w:firstLine="1134"/>
        <w:jc w:val="both"/>
        <w:rPr>
          <w:lang w:val="es-AR" w:eastAsia="es-AR" w:bidi="es-AR"/>
        </w:rPr>
      </w:pPr>
      <w:r>
        <w:rPr>
          <w:lang w:val="es-AR" w:eastAsia="es-AR" w:bidi="es-AR"/>
        </w:rPr>
        <w:t xml:space="preserve">Menciona antecedentes en apoyo de su postura concluyendo que queda en evidencia la errónea aplicación de la doctrina legal de la SCBA aplicada por el juzgador anterior para proceder al rechazo de la demanda.</w:t>
      </w:r>
    </w:p>
    <w:p>
      <w:pPr>
        <w:pStyle w:val="[Normal]"/>
        <w:spacing w:line="480" w:lineRule="auto"/>
        <w:ind w:firstLine="1134"/>
        <w:jc w:val="both"/>
        <w:rPr>
          <w:lang w:val="es-AR" w:eastAsia="es-AR" w:bidi="es-AR"/>
        </w:rPr>
      </w:pPr>
      <w:r>
        <w:rPr>
          <w:lang w:val="es-AR" w:eastAsia="es-AR" w:bidi="es-AR"/>
        </w:rPr>
        <w:t xml:space="preserve">Se agravia seguidamente del apartamiento que realiza el a-quo de la velocidad a la que circulaba su parte, establecida por el perito mecánico en 37 kms./h., es decir dentro de los límites establecidos para las avenidas, no asignando asimismo ninguna importancia a la instintiva maniobra del motociclista, quien al sorprenderse con el avance del automóvil en su línea de circulación, intentó evitar el impacto apretando fuertemente los frenos.</w:t>
      </w:r>
    </w:p>
    <w:p>
      <w:pPr>
        <w:pStyle w:val="[Normal]"/>
        <w:spacing w:line="480" w:lineRule="auto"/>
        <w:ind w:firstLine="1134"/>
        <w:jc w:val="both"/>
        <w:rPr>
          <w:lang w:val="es-AR" w:eastAsia="es-AR" w:bidi="es-AR"/>
        </w:rPr>
      </w:pPr>
      <w:r>
        <w:rPr>
          <w:lang w:val="es-AR" w:eastAsia="es-AR" w:bidi="es-AR"/>
        </w:rPr>
        <w:t xml:space="preserve">Aduce además que si bien el perito no pudo determinar la velocidad del automotor afirma que era mínima, encontrándose casi detenido en el centro de la avenida, representando un obstáculo para quienes circulaban por la misma.</w:t>
      </w:r>
    </w:p>
    <w:p>
      <w:pPr>
        <w:pStyle w:val="[Normal]"/>
        <w:spacing w:line="480" w:lineRule="auto"/>
        <w:ind w:firstLine="1134"/>
        <w:jc w:val="both"/>
        <w:rPr>
          <w:lang w:val="es-AR" w:eastAsia="es-AR" w:bidi="es-AR"/>
        </w:rPr>
      </w:pPr>
      <w:r>
        <w:rPr>
          <w:lang w:val="es-AR" w:eastAsia="es-AR" w:bidi="es-AR"/>
        </w:rPr>
        <w:t xml:space="preserve">Respecto de la carga de la prueba, señala que sólo con los dichos del demandado, le bastó al sentenciante anterior para tener por acreditado que la mecánica aconteció conforme el relato realizado en la contestación de demanda. Advierte que no ha cumplido aquel con su mandato probatorio no pudiendo demostrar la incidencia causal de la víctima en la producción del hecho.</w:t>
      </w:r>
    </w:p>
    <w:p>
      <w:pPr>
        <w:pStyle w:val="[Normal]"/>
        <w:spacing w:line="480" w:lineRule="auto"/>
        <w:ind w:firstLine="1134"/>
        <w:jc w:val="both"/>
        <w:rPr>
          <w:lang w:val="es-AR" w:eastAsia="es-AR" w:bidi="es-AR"/>
        </w:rPr>
      </w:pPr>
      <w:r>
        <w:rPr>
          <w:lang w:val="es-AR" w:eastAsia="es-AR" w:bidi="es-AR"/>
        </w:rPr>
        <w:t xml:space="preserve">Solicita se modifique la sentencia de la anterior instancia, con expresa imposición de costas a la contraria.</w:t>
      </w:r>
    </w:p>
    <w:p>
      <w:pPr>
        <w:pStyle w:val="[Normal]"/>
        <w:spacing w:line="480" w:lineRule="auto"/>
        <w:ind w:firstLine="1134"/>
        <w:jc w:val="both"/>
        <w:rPr>
          <w:lang w:val="es-AR" w:eastAsia="es-AR" w:bidi="es-AR"/>
        </w:rPr>
      </w:pPr>
      <w:r>
        <w:rPr>
          <w:lang w:val="es-AR" w:eastAsia="es-AR" w:bidi="es-AR"/>
        </w:rPr>
        <w:t xml:space="preserve">Conferido el traslado pertinente fue contestado por la parte demandada y la citada en garantía mediante la presentación electrónica de fecha 23 de agosto de 2019.</w:t>
      </w:r>
    </w:p>
    <w:p>
      <w:pPr>
        <w:pStyle w:val="[Normal]"/>
        <w:spacing w:line="480" w:lineRule="auto"/>
        <w:ind w:firstLine="1134"/>
        <w:jc w:val="both"/>
        <w:rPr>
          <w:lang w:val="es-AR" w:eastAsia="es-AR" w:bidi="es-AR"/>
        </w:rPr>
      </w:pPr>
      <w:r>
        <w:rPr>
          <w:lang w:val="es-AR" w:eastAsia="es-AR" w:bidi="es-AR"/>
        </w:rPr>
        <w:t xml:space="preserve">Solicita se confirme la sentencia apelada, con costas.</w:t>
      </w:r>
    </w:p>
    <w:p>
      <w:pPr>
        <w:pStyle w:val="[Normal]"/>
        <w:spacing w:line="480" w:lineRule="auto"/>
        <w:ind w:firstLine="1134"/>
        <w:jc w:val="both"/>
        <w:rPr>
          <w:lang w:val="es-AR" w:eastAsia="es-AR" w:bidi="es-AR"/>
        </w:rPr>
      </w:pPr>
      <w:r>
        <w:rPr>
          <w:lang w:val="es-AR" w:eastAsia="es-AR" w:bidi="es-AR"/>
        </w:rPr>
        <w:t xml:space="preserve">A fs. 212 se dictó el llamamiento de autos de fecha 29 de agosto de 2019, que habiendo adquirido firmeza deja la causa en condiciones de ser fallada.</w:t>
      </w:r>
    </w:p>
    <w:p>
      <w:pPr>
        <w:pStyle w:val="[Normal]"/>
        <w:spacing w:line="480" w:lineRule="auto"/>
        <w:ind w:firstLine="1134"/>
        <w:jc w:val="both"/>
        <w:rPr>
          <w:lang w:val="es-AR" w:eastAsia="es-AR" w:bidi="es-AR"/>
        </w:rPr>
      </w:pPr>
      <w:r>
        <w:rPr>
          <w:lang w:val="es-AR" w:eastAsia="es-AR" w:bidi="es-AR"/>
        </w:rPr>
        <w:t xml:space="preserve">Entrando a resolver, como señalara el juez de la anterior instancia, ha quedado reconocida la plataforma fáctica,  esto es que el día 7 de diciembre  de 2016, el Sr. Lisandro R. Velázquez, conducía la motocicleta  Honda, por la Avda. de Mayo en dirección Oeste / Este. Que, el codemandado, Sr. Ramunno conducía el vehículo marca Chevrolet Corsa, de propiedad de Rocabruna  por la calle Luzuriaga y que, el accidente se produce en la intersección de las arterias mencionadas.</w:t>
      </w:r>
    </w:p>
    <w:p>
      <w:pPr>
        <w:pStyle w:val="[Normal]"/>
        <w:spacing w:line="480" w:lineRule="auto"/>
        <w:ind w:firstLine="1134"/>
        <w:jc w:val="both"/>
        <w:rPr>
          <w:lang w:val="es-AR" w:eastAsia="es-AR" w:bidi="es-AR"/>
        </w:rPr>
      </w:pPr>
      <w:r>
        <w:rPr>
          <w:lang w:val="es-AR" w:eastAsia="es-AR" w:bidi="es-AR"/>
        </w:rPr>
        <w:t xml:space="preserve">Asimismo, también ha quedado reconocido que como consecuencia del siniestro, se inició la IPP. N° 12-00-009183 -16 / 00 caratulada "Lesiones Culposas, imputado: "Ramunno Ricardo José  ",  la que finaliza con la resolución de fs. 394, en la que el Sr. Agente Fiscal decreta el archivo de las actuaciones, pronunciamiento que como lo reseñara el a quo, "</w:t>
      </w:r>
      <w:r>
        <w:rPr>
          <w:i/>
          <w:lang w:val="es-AR" w:eastAsia="es-AR" w:bidi="es-AR"/>
        </w:rPr>
        <w:t xml:space="preserve">no importa un impedimento en los términos de los arts.  1774 y 1775 C.C.C</w:t>
      </w:r>
      <w:r>
        <w:rPr>
          <w:lang w:val="es-AR" w:eastAsia="es-AR" w:bidi="es-AR"/>
        </w:rPr>
        <w:t xml:space="preserve">." Estas actuaciones fueron traídas como prueba instrumental a la causa y se tornaron en prueba común de los litigantes.- </w:t>
      </w:r>
    </w:p>
    <w:p>
      <w:pPr>
        <w:pStyle w:val="[Normal]"/>
        <w:spacing w:line="480" w:lineRule="auto"/>
        <w:ind w:firstLine="1134"/>
        <w:jc w:val="both"/>
        <w:rPr>
          <w:lang w:val="es-AR" w:eastAsia="es-AR" w:bidi="es-AR"/>
        </w:rPr>
      </w:pPr>
      <w:r>
        <w:rPr>
          <w:lang w:val="es-AR" w:eastAsia="es-AR" w:bidi="es-AR"/>
        </w:rPr>
        <w:t xml:space="preserve">Es así que ha quedado acreditado que el  actor venía circulando por Avenida de Mayo, la cual como es de público conocimiento es de doble mano y gran tráfico vehicular; a su vez que el demandado ingresaba por la derecha a dicha Avenida, provocándose la colisión entre ambos que generó el daño que se reclama.-</w:t>
      </w:r>
    </w:p>
    <w:p>
      <w:pPr>
        <w:pStyle w:val="[Normal]"/>
        <w:spacing w:line="480" w:lineRule="auto"/>
        <w:ind w:firstLine="1134"/>
        <w:jc w:val="both"/>
        <w:rPr>
          <w:lang w:val="es-AR" w:eastAsia="es-AR" w:bidi="es-AR"/>
        </w:rPr>
      </w:pPr>
      <w:r>
        <w:rPr>
          <w:lang w:val="es-AR" w:eastAsia="es-AR" w:bidi="es-AR"/>
        </w:rPr>
        <w:t xml:space="preserve">El primer disgusto del actor, trata de la desestimación de la demanda de primera instancia, que el doliente asienta sobre una errónea interpretación y aplicación de la doctrina legal de la Suprema Corte de la Provincia de Buenos Aires sobre un tema candente: el de la prioridad de paso y las Avenidas.</w:t>
      </w:r>
    </w:p>
    <w:p>
      <w:pPr>
        <w:pStyle w:val="[Normal]"/>
        <w:spacing w:line="480" w:lineRule="auto"/>
        <w:ind w:firstLine="1134"/>
        <w:jc w:val="both"/>
        <w:rPr>
          <w:lang w:val="es-AR" w:eastAsia="es-AR" w:bidi="es-AR"/>
        </w:rPr>
      </w:pPr>
      <w:r>
        <w:rPr>
          <w:lang w:val="es-AR" w:eastAsia="es-AR" w:bidi="es-AR"/>
        </w:rPr>
        <w:t xml:space="preserve">Ello así y de acuerdo a lo ya resuelto por esta Alzada, en relación al tema en cuestión, estimo que le asiste razón al actor en punto a la queja concreta que versa sobre la necesaria ponderación de las circunstancias del caso concreto, que a mi criterio el operador ha pasado por alto, recurriendo lisa y llanamente a la aplicación literal del art. 41 que se menciona y a la doctrina legal de la SCJ, tópico que voy a desarrollar sobre dos análisis: 1) el problema actual de la prioridad de paso y las Avenidas prevista en el art. 41, 2) las circunstancias concretas de esta causa (Expte. Nro. 3413, caratulado: "AMATO CARLOS RUBEN C/ BATTAGLINO LUIS Y OTROS S/DAÑOS Y PERJ.AUTOM. C/LES. O MUERTE (EXC.ESTADO)", del 19  de marzo de 2019, Registro N°   30  /2019 ) .-</w:t>
      </w:r>
    </w:p>
    <w:p>
      <w:pPr>
        <w:pStyle w:val="[Normal]"/>
        <w:spacing w:line="480" w:lineRule="auto"/>
        <w:ind w:firstLine="1134"/>
        <w:jc w:val="both"/>
        <w:rPr>
          <w:lang w:val="es-AR" w:eastAsia="es-AR" w:bidi="es-AR"/>
        </w:rPr>
      </w:pPr>
      <w:r>
        <w:rPr>
          <w:lang w:val="es-AR" w:eastAsia="es-AR" w:bidi="es-AR"/>
        </w:rPr>
        <w:t xml:space="preserve">Según el muy bien logrado voto de mi colega, Dra. Scaraffia, en los autos en cuestión, ha destacado que: "Con relación al primero resulta pertinente revisar el estado actual de la cuestión en la jurisprudencia provincial.  Si bien la posición actual de la Corte Provincial es conteste en que el art. 41 de la ley 24.449 inc. d vigente en el ámbito provincial por la ley de adhesión 13.927 no excepciona a quién transita por una avenida de la prioridad de paso que recae en cabeza de quien circula por la derecha (cf. SCBA, “Rearte, Walter Edgardo contra Chere, Miguel Angel y otro. Daños y perjuicios”. Causa C. 118.128, 08/04/2015), considero que la doctrina legal de la SCJBA no es incompatible con una interpretación finalista y sistémica del art. 41 que permita flexibilizar el alcance de la prioridad de paso cuando quien circula por la derecha ingresa a una avenida. </w:t>
      </w:r>
    </w:p>
    <w:p>
      <w:pPr>
        <w:pStyle w:val="[Normal]"/>
        <w:spacing w:line="480" w:lineRule="auto"/>
        <w:ind w:firstLine="1134"/>
        <w:jc w:val="both"/>
        <w:rPr>
          <w:lang w:val="es-AR" w:eastAsia="es-AR" w:bidi="es-AR"/>
        </w:rPr>
      </w:pPr>
      <w:r>
        <w:rPr>
          <w:lang w:val="es-AR" w:eastAsia="es-AR" w:bidi="es-AR"/>
        </w:rPr>
        <w:t xml:space="preserve">En sustento de la interpretación propugnada, la propia SCJBA ha reconocido en las recientes sentencias “Canales” y “Flamenco” que: “La prioridad de paso que asigna el art. 57 de la ley 11.430 si bien –en principio- es absoluta, no puede ser evaluada en forma autónoma sino por el contrario imbrincada en el contexto general de las normas de tránsito, analizando su vigencia en correspondencia con la simultánea existencia de otras infracciones y en correlación, también, con los preceptos específicos del Código Civil que disciplinan la responsabilidad por daños” (cf. SCBA, causa C 120.890, “Canales Riesco, María Lorena c/ Gonnet, Jorge Néstor y otro. Daños y perjuicios”, 18/04/2018; “Flamenco, Ceferino Alfredo contra Giménez, Hugo Daniel. Daños y Perjuicios”, causa C. 121.006, 30/05/2018).</w:t>
      </w:r>
    </w:p>
    <w:p>
      <w:pPr>
        <w:pStyle w:val="[Normal]"/>
        <w:spacing w:line="480" w:lineRule="auto"/>
        <w:ind w:firstLine="1134"/>
        <w:jc w:val="both"/>
        <w:rPr>
          <w:lang w:val="es-AR" w:eastAsia="es-AR" w:bidi="es-AR"/>
        </w:rPr>
      </w:pPr>
      <w:r>
        <w:rPr>
          <w:lang w:val="es-AR" w:eastAsia="es-AR" w:bidi="es-AR"/>
        </w:rPr>
        <w:t xml:space="preserve">A su vez, cabe recordar que la prioridad de paso no constituye un “bill de indemnidad” a favor de quien circula por la derecha. No es irrelevante que el art. 39 de la ley 24.449 imponga al conductor, sin perjuicio de la prioridad de paso que le asista al llegar a la bocacalle, reducir sensiblemente su velocidad para atender la posible presencia suficientemente anterior de cualquier otro vehículo circulando por la vía perpendicular, manteniendo el dominio de su rodado a tales fines. El incumplimiento de tal conducta puede resultar idóneo, según las circunstancias y probanzas de la causa para incidir en la producción y mecánica del evento (conf. Art. 384 y concs., CPCC) (cf. SCBA, causa C 121.001, 21/02/2018, “Rodríguez, Andrea Beatriz c/ Acosta, Antonio Vicente y otros. Daños y perjuicios”).</w:t>
      </w:r>
    </w:p>
    <w:p>
      <w:pPr>
        <w:pStyle w:val="[Normal]"/>
        <w:spacing w:line="480" w:lineRule="auto"/>
        <w:ind w:firstLine="1134"/>
        <w:jc w:val="both"/>
        <w:rPr>
          <w:lang w:val="es-AR" w:eastAsia="es-AR" w:bidi="es-AR"/>
        </w:rPr>
      </w:pPr>
      <w:r>
        <w:rPr>
          <w:lang w:val="es-AR" w:eastAsia="es-AR" w:bidi="es-AR"/>
        </w:rPr>
        <w:t xml:space="preserve">En este sentido, comparto los fundamentos expresados por la Sala II de la Cámara de Apelaciones en lo Civil y Comercial del Departamento Judicial de Azul en la causa “López” al afirmar que: “La regla general (art. 41 inc. d ley 24.449) debe armonizarse con el principio cardinal que rige la circulación vial y que se expresa como mandato abierto e indeterminado: ´circule de manera de no dañar a otro, con la máxima cautela y previsión, de modo que tenga el control de su vehículo sin entorpecer la circulación ni afectar la fluidez del tránsito´, el que se desprende de la conjugación y complementación de las conductas prescriptas por los arts. 39 inc. b), 50, 64 y concs. De la Ley 24.449. Todo ello en el marco de fuentes plurales de derecho privado (reglas, principios y valores) procurando su unidad sistémica y su coherencia ´a posteriori´ (arts. 1, 2, 3, 7 y concs. CCCN)” (Cámara de Apelaciones en lo Civil y Comercial, Sala II, “López, Carlos Adrián c/ Esperatti, José Oscar y otro s/ Daños y Perjuicios”, 08/06/2017).</w:t>
      </w:r>
    </w:p>
    <w:p>
      <w:pPr>
        <w:pStyle w:val="[Normal]"/>
        <w:spacing w:line="480" w:lineRule="auto"/>
        <w:ind w:firstLine="1134"/>
        <w:jc w:val="both"/>
        <w:rPr>
          <w:lang w:val="es-AR" w:eastAsia="es-AR" w:bidi="es-AR"/>
        </w:rPr>
      </w:pPr>
      <w:r>
        <w:rPr>
          <w:lang w:val="es-AR" w:eastAsia="es-AR" w:bidi="es-AR"/>
        </w:rPr>
        <w:t xml:space="preserve">A mayor abundamiento, cabe tener presente que en ciudades del interior de la Provincia, como es el caso de Pergamino, la experiencia demuestra que la mayoría de los ciudadanos actúan con el convencimiento de que la prioridad recae en quien circula por una avenida por ser de mayores dimensiones, generalmente de doble mano, de tránsito más intenso y más rápido, por lo tiene primacía la creencia social de que quien debe frenar antes de acometer un cruce es quien accede desde una calle lateral y de menor “jerarquía”. Incluso la propia Corte había reconocido anteriormente que tal creencia social no es infundada, sino que reconoce su sustento en la anterior normativa de tránsito que durante muchos años asignó prioridad de paso también a las avenidas y vías de mayor jerarquía (fallo SCBA, “Salinas”, del 08/06/2005, voto del Dr. Roncoroni).</w:t>
      </w:r>
    </w:p>
    <w:p>
      <w:pPr>
        <w:pStyle w:val="[Normal]"/>
        <w:spacing w:line="480" w:lineRule="auto"/>
        <w:ind w:firstLine="1134"/>
        <w:jc w:val="both"/>
        <w:rPr>
          <w:lang w:val="es-AR" w:eastAsia="es-AR" w:bidi="es-AR"/>
        </w:rPr>
      </w:pPr>
      <w:r>
        <w:rPr>
          <w:lang w:val="es-AR" w:eastAsia="es-AR" w:bidi="es-AR"/>
        </w:rPr>
        <w:t xml:space="preserve">Por ello, aún rescatando la trascendencia de hacer respetar la prioridad de que goza quien circula por la derecha, ello no puede conducir a una inteligencia omnicomprensiva, generalizante y puramente mecánica de tal regla, pues es necesario verificar en cada caso las circunstancias integrales, en particular la incidencia de otras normas de tránsito y los principios generales de la responsabilidad civil (cf. Cámara de Apelaciones de La Plata, Sala II, “SABORIDO, JUAN CARLOS c/MASTER 1 SRL Y OTRO s/DAÑOS Y PERJ. AUTOM. C/LESIONES (EXC. ESTADO)”, causa 118.034, 16/12/2014).</w:t>
      </w:r>
    </w:p>
    <w:p>
      <w:pPr>
        <w:pStyle w:val="[Normal]"/>
        <w:spacing w:line="480" w:lineRule="auto"/>
        <w:ind w:firstLine="1134"/>
        <w:jc w:val="both"/>
        <w:rPr>
          <w:lang w:val="es-AR" w:eastAsia="es-AR" w:bidi="es-AR"/>
        </w:rPr>
      </w:pPr>
      <w:r>
        <w:rPr>
          <w:lang w:val="es-AR" w:eastAsia="es-AR" w:bidi="es-AR"/>
        </w:rPr>
        <w:t xml:space="preserve">Amparado en tal convicción, considero que la síntesis jurídica lograda por la Sala II de la Cámara de Apelaciones en lo Civil y Comercial de Azul en la causa “Degano”, trasunta una derivación razonada y armónica del derecho vigente, lo que motiva mi adhesión al criterio sentado: “La conjugación de la regla (prioridad de paso de quien ingresa por la derecha a una avenida) y el principio o enunciado normativo (prioridad de paso de quien circula por la avenida) puede formularse sosteniendo que el conductor que circula por la derecha por una calle o arteria común y accede a una avenida o ´vía principal´, como lo decía la legislación derogada, generalmente de doble mano y de tránsito más frecuente y rápido, debe ejercer su derecho a procurar el cruce (interfiriendo de esa manera en la fluidez vial y entorpeciendo la circulación vial) cuando las circunstancias y condiciones del tránsito lo permitan, sin riesgos para sí o para terceros (arts. 9, 10, 1710 inc. b y concs. CCCN)”.</w:t>
      </w:r>
    </w:p>
    <w:p>
      <w:pPr>
        <w:pStyle w:val="[Normal]"/>
        <w:spacing w:line="480" w:lineRule="auto"/>
        <w:ind w:firstLine="1134"/>
        <w:jc w:val="both"/>
        <w:rPr>
          <w:lang w:val="es-AR" w:eastAsia="es-AR" w:bidi="es-AR"/>
        </w:rPr>
      </w:pPr>
      <w:r>
        <w:rPr>
          <w:lang w:val="es-AR" w:eastAsia="es-AR" w:bidi="es-AR"/>
        </w:rPr>
        <w:t xml:space="preserve">Finalmente, resta decir que la interpretación propiciada no sólo no es incompatible con el criterio adoptado por la SCJBA en las citadas causas “Rearte”, “Flamenco” y “Canales”, sino que además encuentra apoyatura directa en el voto en disidencia del Dr. Negri en los últimos dos precedentes aludidos, para quien resulta insoslayable tener en cuenta la condición de la avenida como vía de mayor jerarquía a la hora de construir la solución jurídica aplicable al caso: “... un principio no puede inferirse sólo de una norma, que lo expresa fragmentariamente (a veces en concurrencia con otros principios), sino de todo el conjunto de normas (…) En esas condiciones, en un examen sistémico cobra entidad el razonamiento de las disposiciones que rigen el tránsito, el cuidado y la diligencia necesarios para que sucesos perjudiciales no se produzcan (…)”.</w:t>
      </w:r>
    </w:p>
    <w:p>
      <w:pPr>
        <w:pStyle w:val="[Normal]"/>
        <w:spacing w:line="480" w:lineRule="auto"/>
        <w:ind w:firstLine="1134"/>
        <w:jc w:val="both"/>
        <w:rPr>
          <w:lang w:val="es-AR" w:eastAsia="es-AR" w:bidi="es-AR"/>
        </w:rPr>
      </w:pPr>
      <w:r>
        <w:rPr>
          <w:lang w:val="es-AR" w:eastAsia="es-AR" w:bidi="es-AR"/>
        </w:rPr>
        <w:t xml:space="preserve">En conclusión, debe prevalecer la interpretación según la cual quien circula por una avenida lo hace asistido por la convicción de que, sin tener un bill de indemnidad, goza de preferencia de paso con relación a los automovilistas que pretenden acceder a ella desde una calle lateral, especialmente cuando la avenida es de doble mano.</w:t>
      </w:r>
    </w:p>
    <w:p>
      <w:pPr>
        <w:pStyle w:val="[Normal]"/>
        <w:spacing w:line="480" w:lineRule="auto"/>
        <w:ind w:firstLine="1134"/>
        <w:jc w:val="both"/>
        <w:rPr>
          <w:lang w:val="es-AR" w:eastAsia="es-AR" w:bidi="es-AR"/>
        </w:rPr>
      </w:pPr>
      <w:r>
        <w:rPr>
          <w:lang w:val="es-AR" w:eastAsia="es-AR" w:bidi="es-AR"/>
        </w:rPr>
        <w:t xml:space="preserve">En la especie, en consecuencia, no compartiendo con el Magistrado anterior el fundamento para decidir como lo hiciera, inherente a la prioridad de paso expuesta como primer agravio de la apelación, he de destacar que ello no ha sido el único fundamento para la desestimación de la demanda, por lo que es necesario determinar la existencia comprobada de los demás factores que el juez a quo tomara en cuenta para resolver en la forma que lo hiciera, aspectos que han sido también puestos como defensas en la contestación de demanda y referidos al responder el memorial de agravios.-</w:t>
      </w:r>
    </w:p>
    <w:p>
      <w:pPr>
        <w:pStyle w:val="[Normal]"/>
        <w:spacing w:line="480" w:lineRule="auto"/>
        <w:ind w:firstLine="1134"/>
        <w:jc w:val="both"/>
        <w:rPr>
          <w:lang w:val="es-AR" w:eastAsia="es-AR" w:bidi="es-AR"/>
        </w:rPr>
      </w:pPr>
      <w:r>
        <w:rPr>
          <w:lang w:val="es-AR" w:eastAsia="es-AR" w:bidi="es-AR"/>
        </w:rPr>
        <w:t xml:space="preserve"> Sentado ello, he de comenzar por señalar que tratándose de un accidente entre un automotor y una moto, rige la doctrina de la responsabilidad  objetiva por el riesgo creado normado por el  art.  1113 del Cód. Civil, segundo apartado, por lo que el factor atributivo es de carácter objetivo. Los automotores  (incluido los ciclomotores también) en movimiento son considerados productores de riesgo, y resulta de aplicación la teoría del riesgo creado, en virtud de la cual cada dueño o guardián debe resarcir los daños causados a otro, salvo que acredite la concurrencia de las excepciones legalmente previstas que permitan eximirlo total o parcialmente, esto es que la culpa de la víctima  o  de un  tercero por el que no deba responder, haya interrumpido  total o parcialmente el nexo de causalidad entre  el  hecho de la cosa riesgosa y el daño (art. 1113 in fine del Cód. Civil).</w:t>
      </w:r>
    </w:p>
    <w:p>
      <w:pPr>
        <w:pStyle w:val="[Normal]"/>
        <w:spacing w:line="480" w:lineRule="auto"/>
        <w:ind w:firstLine="1134"/>
        <w:jc w:val="both"/>
        <w:rPr>
          <w:lang w:val="es-AR" w:eastAsia="es-AR" w:bidi="es-AR"/>
        </w:rPr>
      </w:pPr>
      <w:r>
        <w:rPr>
          <w:lang w:val="es-AR" w:eastAsia="es-AR" w:bidi="es-AR"/>
        </w:rPr>
        <w:t xml:space="preserve">Para ello, he de señalar los elementos de prueba que puedan influir acerca de la responsabilidad aludida, esto es disminuyéndola o eximiéndola totalmente.-</w:t>
      </w:r>
    </w:p>
    <w:p>
      <w:pPr>
        <w:pStyle w:val="[Normal]"/>
        <w:spacing w:line="480" w:lineRule="auto"/>
        <w:ind w:firstLine="1134"/>
        <w:jc w:val="both"/>
        <w:rPr>
          <w:lang w:val="es-AR" w:eastAsia="es-AR" w:bidi="es-AR"/>
        </w:rPr>
      </w:pPr>
      <w:r>
        <w:rPr>
          <w:lang w:val="es-AR" w:eastAsia="es-AR" w:bidi="es-AR"/>
        </w:rPr>
        <w:t xml:space="preserve">En nuestro caso, corresponde destacar que no existen testigos presenciales del hecho, o al menos no han declarado en autos, ni tampoco en la causa penal ofrecida como prueba instrumental y que en este acto tengo a la vista, esto es expediente Nro. 9183-16, caratulado "Ramunno Ricardo José  s/Lesiones Culposas art. 94 - Velázquez Lisandro Ramón (Víctima)". </w:t>
      </w:r>
    </w:p>
    <w:p>
      <w:pPr>
        <w:pStyle w:val="[Normal]"/>
        <w:spacing w:line="480" w:lineRule="auto"/>
        <w:ind w:firstLine="1134"/>
        <w:jc w:val="both"/>
        <w:rPr>
          <w:lang w:val="es-AR" w:eastAsia="es-AR" w:bidi="es-AR"/>
        </w:rPr>
      </w:pPr>
      <w:r>
        <w:rPr>
          <w:lang w:val="es-AR" w:eastAsia="es-AR" w:bidi="es-AR"/>
        </w:rPr>
        <w:t xml:space="preserve">Lo que si existe es la declaración de la propia víctima, quien relatara ante la instrucción policial que: "... </w:t>
      </w:r>
      <w:r>
        <w:rPr>
          <w:i/>
          <w:lang w:val="es-AR" w:eastAsia="es-AR" w:bidi="es-AR"/>
        </w:rPr>
        <w:t xml:space="preserve">circulaba solo en su motocicleta marca HONDA modelo TITAN, de color negra ... por calle Av. De Mayo de esta ciudad dirigiéndose  en sentido Centro de la ciudad hacia Bv. Rocha, cuando al llegar  a calle Luzuriaga observa que cruza un automóvil por esa calle, mirando hacia el otro lado, es por ello que este aprieta  fuertemente los frenos perdiendo el control del rodado, lo cual cae al suelo y derrapa hacia impactar contra la parte izquierda del rodado mayor</w:t>
      </w:r>
      <w:r>
        <w:rPr>
          <w:lang w:val="es-AR" w:eastAsia="es-AR" w:bidi="es-AR"/>
        </w:rPr>
        <w:t xml:space="preserve">" (Fs. 13 de la mencionada causa penal que tengo a la vista).-</w:t>
      </w:r>
    </w:p>
    <w:p>
      <w:pPr>
        <w:pStyle w:val="[Normal]"/>
        <w:spacing w:line="480" w:lineRule="auto"/>
        <w:ind w:firstLine="1134"/>
        <w:jc w:val="both"/>
        <w:rPr>
          <w:lang w:val="es-AR" w:eastAsia="es-AR" w:bidi="es-AR"/>
        </w:rPr>
      </w:pPr>
      <w:r>
        <w:rPr>
          <w:lang w:val="es-AR" w:eastAsia="es-AR" w:bidi="es-AR"/>
        </w:rPr>
        <w:t xml:space="preserve">Con relación a la validez probatoria de lo dicho ante la autoridad policial, debo destacar que tiene relevancia en casos como el presente en la que el mismo accionante efectúa manifestaciones en su propia contra. Es que, "Respecto a la validez de las actas policiales, se trata de la aplicación de principios generales en materia de prueba, que acuerda relevancia probatoria al acta de choque cuando se trata de una declaración prestada ante la autoridad policial en presencia de la parte contraria, en cuyo caso tiene el mismo valor que la confesión extrajudicial. Por lo contrario, tratándose de una declaración de carácter unilateral, aún con intervención del funcionario policial, cabe desechar su valor probatorio si lo que se pretende es probar contra el contrario con las constancias que se atestan en la misma. Únicamente cabe acordarle relevancia cuando quien aparece levantándola formula manifestaciones que redundan en su propia contra, puesto que allí tiene el carácter de reconocimiento extrajudicial, dado la calidad de autenticidad de la exposición policial. (CC0001 SI 92673 RSD-565-3 S 12/08/2003 Juez ARAZI (SD) -Carátula: Fleitas, Aguiar c/Light Planes s.a. s/Daños y perjuicios" - Sumario Juba: B1701255 y el subrayado me pertenece).</w:t>
      </w:r>
    </w:p>
    <w:p>
      <w:pPr>
        <w:pStyle w:val="[Normal]"/>
        <w:spacing w:line="480" w:lineRule="auto"/>
        <w:ind w:firstLine="1134"/>
        <w:jc w:val="both"/>
        <w:rPr>
          <w:lang w:val="es-AR" w:eastAsia="es-AR" w:bidi="es-AR"/>
        </w:rPr>
      </w:pPr>
      <w:r>
        <w:rPr>
          <w:lang w:val="es-AR" w:eastAsia="es-AR" w:bidi="es-AR"/>
        </w:rPr>
        <w:t xml:space="preserve">Asimismo, el perito mecánico Ingeniero Eduardo H. Murphy, dictaminó acerca de la mecánica del hecho que : "</w:t>
      </w:r>
      <w:r>
        <w:rPr>
          <w:i/>
          <w:lang w:val="es-AR" w:eastAsia="es-AR" w:bidi="es-AR"/>
        </w:rPr>
        <w:t xml:space="preserve">El CHEVROLET Classic se encontraba circulando por la calle Luzuriaga hacia el Norte (es decir de A. de Mayo a Pinto) cruza una mano de la Avenida y cuando se encontraba por cruzar la segunda mano (la que va al oeste) es impactado en su lateral izquierdo por la moto. En tanto que la moto HONDA circulaba por Av. de Mayo hacia el este es decir desde Dr. Alem hacia Luzuriaga, unos 11 metros antes de la encrucijada advierte al automóvil por lo que aplica sus  frenos  por espacio de 7,8 m y cae dejando los raspones  que la conducen a la posición final  de contacto con el CHEVROLET ... De acuerdo a los rastros indicados la velocidad mínima  de circulación de la moto resulta del orden de Vif HONDA = 10,35 m/s 37,5 Km/h para el auto no hay rastros pero, teniendo en cuenta que no se produce un desplazamiento considerable entre los raspones y la posición de detención , su velocidad era mínima</w:t>
      </w:r>
      <w:r>
        <w:rPr>
          <w:lang w:val="es-AR" w:eastAsia="es-AR" w:bidi="es-AR"/>
        </w:rPr>
        <w:t xml:space="preserve">" (Fs. 102 Vta.)</w:t>
      </w:r>
    </w:p>
    <w:p>
      <w:pPr>
        <w:pStyle w:val="[Normal]"/>
        <w:spacing w:line="480" w:lineRule="auto"/>
        <w:ind w:firstLine="1134"/>
        <w:jc w:val="both"/>
        <w:rPr>
          <w:lang w:val="es-AR" w:eastAsia="es-AR" w:bidi="es-AR"/>
        </w:rPr>
      </w:pPr>
      <w:r>
        <w:rPr>
          <w:lang w:val="es-AR" w:eastAsia="es-AR" w:bidi="es-AR"/>
        </w:rPr>
        <w:t xml:space="preserve">De la observación de las fotografías agregadas en la causa penal, se advierte que la moto colisiona con el automotor en la mitad de la avenida, y que el impacto se produjo con la parte media del lateral izquierdo, y que  no produjo una importante abolladura en el vehículo mayor (Fs. 24/25).</w:t>
      </w:r>
    </w:p>
    <w:p>
      <w:pPr>
        <w:pStyle w:val="[Normal]"/>
        <w:spacing w:line="480" w:lineRule="auto"/>
        <w:ind w:firstLine="1134"/>
        <w:jc w:val="both"/>
        <w:rPr>
          <w:lang w:val="es-AR" w:eastAsia="es-AR" w:bidi="es-AR"/>
        </w:rPr>
      </w:pPr>
      <w:r>
        <w:rPr>
          <w:lang w:val="es-AR" w:eastAsia="es-AR" w:bidi="es-AR"/>
        </w:rPr>
        <w:t xml:space="preserve">De lo expuesto por el Sr. Velázquez en el acta policial y de las probanzas que he referido anteriormente, puedo concluir que la conducta del actor en la ocasión no ha sido correcta, ya que al perder el control de su conducido,  pese a la aplicación de los frenos, terminó  por impactar con el rodado mayor sobre la parte media de la avenida, que se encontraba ya cruzando la misma transformándose en la causa efectiva del accidente habiendo colisionado  por esa circunstancia , es decir que no ha respetado en la ocasión  las reglas de tránsito, todo lo cual  me lleva a considerar que su accionar ha sido determinante para la causación del evento, con lo cual se ha configurado la interrupción del nexo causal, al acreditarse con tal accionar la eximente de responsabilidad, y que me lleva a la misma solución que el a quo, pero por diversos motivos, como se expresara anteriormente.</w:t>
      </w:r>
    </w:p>
    <w:p>
      <w:pPr>
        <w:pStyle w:val="[Normal]"/>
        <w:spacing w:line="480" w:lineRule="auto"/>
        <w:ind w:firstLine="1134"/>
        <w:jc w:val="both"/>
        <w:rPr>
          <w:lang w:val="es-AR" w:eastAsia="es-AR" w:bidi="es-AR"/>
        </w:rPr>
      </w:pPr>
      <w:r>
        <w:rPr>
          <w:lang w:val="es-AR" w:eastAsia="es-AR" w:bidi="es-AR"/>
        </w:rPr>
        <w:t xml:space="preserve">Nótese que la pericia mas arriba mencionada, determinó que la </w:t>
      </w:r>
      <w:r>
        <w:rPr>
          <w:u w:val="single"/>
          <w:lang w:val="es-AR" w:eastAsia="es-AR" w:bidi="es-AR"/>
        </w:rPr>
        <w:t xml:space="preserve">velocidad mínima de 37 Km/h</w:t>
      </w:r>
      <w:r>
        <w:rPr>
          <w:lang w:val="es-AR" w:eastAsia="es-AR" w:bidi="es-AR"/>
        </w:rPr>
        <w:t xml:space="preserve">, circunstancia que y ante lo declarado por el Sr. Velázquez en sede penal, y que también he referido supra, concretamente que ante la advertencia del vehículo cruzando la avenida , realiza maniobra de frenado, pero según sus propios dichos pierde el control de la moto, cayendo al suelo y derrapando hasta colisionar con el auto.-</w:t>
      </w:r>
    </w:p>
    <w:p>
      <w:pPr>
        <w:pStyle w:val="[Normal]"/>
        <w:spacing w:line="480" w:lineRule="auto"/>
        <w:ind w:firstLine="1134"/>
        <w:jc w:val="both"/>
        <w:rPr>
          <w:lang w:val="es-AR" w:eastAsia="es-AR" w:bidi="es-AR"/>
        </w:rPr>
      </w:pPr>
      <w:r>
        <w:rPr>
          <w:lang w:val="es-AR" w:eastAsia="es-AR" w:bidi="es-AR"/>
        </w:rPr>
        <w:t xml:space="preserve">Es decir que de acuerdo a ello, puedo concluir en que la velocidad que llevaba era mucho mayor a la mínima  informada por el perito, lo que llevo a la perdida del mando de su conducida, y ello se erige en motivo causal del accidente.-</w:t>
      </w:r>
    </w:p>
    <w:p>
      <w:pPr>
        <w:pStyle w:val="[Normal]"/>
        <w:spacing w:line="480" w:lineRule="auto"/>
        <w:ind w:firstLine="1134"/>
        <w:jc w:val="both"/>
        <w:rPr>
          <w:lang w:val="es-AR" w:eastAsia="es-AR" w:bidi="es-AR"/>
        </w:rPr>
      </w:pPr>
      <w:r>
        <w:rPr>
          <w:lang w:val="es-AR" w:eastAsia="es-AR" w:bidi="es-AR"/>
        </w:rPr>
        <w:t xml:space="preserve">Al respecto, la normativa de tránsito al legislar acerca de las condiciones para conducir establece que "L</w:t>
      </w:r>
      <w:r>
        <w:rPr>
          <w:i/>
          <w:lang w:val="es-AR" w:eastAsia="es-AR" w:bidi="es-AR"/>
        </w:rPr>
        <w:t xml:space="preserve">os conductores ... en la vía pública , circular con cuidado y prevención, conservando en todo momento el dominio efectivo del vehículo ... teniendo en cuenta los riesgos propios de la circulación y demás circunstancias del tránsito", Como así también, la obligación de circular utilizando "únicamente la calzada sobre la derecha" .-  (</w:t>
      </w:r>
      <w:r>
        <w:rPr>
          <w:lang w:val="es-AR" w:eastAsia="es-AR" w:bidi="es-AR"/>
        </w:rPr>
        <w:t xml:space="preserve"> Art. 39 de la ley Nacional de Tránsito, Nro. 24.449, por adhesión efectuada a en el art. 1 del Código de Tránsito de la Provincia de Buenos Aires, Ley 13.927</w:t>
      </w:r>
      <w:r>
        <w:rPr>
          <w:i/>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  Ello así, entiendo que el conductor de la moto no pudo controlar la misma, y ello porque no pudo frenar a tiempo debido a que no tenía dominio efectivo de su motocicleta, y circulando por el medio de la avenida  en vez de hacerlo sobre la que correspondía esto es "sobre la derecha de la calzada", es decir que no ha respetado en la ocasión  la  regla de tránsito que regula la conducción, lo que me lleva a considerar que su accionar ha sido determinante para la causación del evento.-</w:t>
      </w:r>
    </w:p>
    <w:p>
      <w:pPr>
        <w:pStyle w:val="[Normal]"/>
        <w:spacing w:line="480" w:lineRule="auto"/>
        <w:ind w:firstLine="1134"/>
        <w:jc w:val="both"/>
        <w:rPr>
          <w:lang w:val="es-AR" w:eastAsia="es-AR" w:bidi="es-AR"/>
        </w:rPr>
      </w:pPr>
      <w:r>
        <w:rPr>
          <w:lang w:val="es-AR" w:eastAsia="es-AR" w:bidi="es-AR"/>
        </w:rPr>
        <w:t xml:space="preserve">Y no es menor la circunstancia de estar al mando de una motocicleta, ya que " .... los conductores de motocicletas están obligados a adoptar precauciones mayores aún que las de los automovilistas, ya que al margen del daño que pueden provocar a los terceros, es un medio de transporte que crea graves riesgos a los propios usuarios, dada la velocidad que pueden desarrollar y la mayor inestabilidad que poseen. Precauciones, que claramente se aprecia, ignoró la accionante, al circular sin la debida atención o en su caso intentar evadir la existencia del obstáculo interpuesto en su camino (arts. 384, 456 y conc. del CPCC; 512, 902, 1109, 1111, 1113 y conc. del CC; 51, 64, 76, y conc. ley 11.430,) (Excma. Cámara de Apelación en lo Civil y Comercial de Dolores, en causa   Nº 95.579, caratulada: "IBARGURENGOITIA, ADALBERTO C/ TITULAR REGISTRAL Y OTRO/A S/ DAÑOS Y PERJ. AUTOM. C/ LES. O MUERTE", sent. del 9 de marzo de 2017 ).-</w:t>
      </w:r>
    </w:p>
    <w:p>
      <w:pPr>
        <w:pStyle w:val="[Normal]"/>
        <w:spacing w:line="480" w:lineRule="auto"/>
        <w:ind w:firstLine="1134"/>
        <w:jc w:val="both"/>
        <w:rPr>
          <w:lang w:val="es-AR" w:eastAsia="es-AR" w:bidi="es-AR"/>
        </w:rPr>
      </w:pPr>
      <w:r>
        <w:rPr>
          <w:lang w:val="es-AR" w:eastAsia="es-AR" w:bidi="es-AR"/>
        </w:rPr>
        <w:t xml:space="preserve">En el mismo sentido, se ha señalado que: "En el supuesto del ciclomotor y/o motocicleta, al margen del daño que pueda provocar su usuario, es un medio de transporte que crea riesgos a los componentes de la sociedad. Es verdad que el riesgo no es igual al del automotor, pero la velocidad que puede desarrollar en cortos espacios y la mayor inestabilidad, producen también diferentes formas de riesgo que impiden entender que sólo puede valorarse el creado por el otro vehículo. Y es precisamente a causa de esa escasa estabilidad su mayor peligrosidad que los conductores de tales móviles están obligados a adoptar precauciones aún mayores que los automovilistas" (Cfr. CC002 MO35500, "D`Luca Jacinto, c/ Diaz Ledo s/ Daños y Perjuicios" RSD-286-96 S 15-7-1996,  sumario Juba: 2351080).- </w:t>
      </w:r>
    </w:p>
    <w:p>
      <w:pPr>
        <w:pStyle w:val="[Normal]"/>
        <w:spacing w:line="480" w:lineRule="auto"/>
        <w:ind w:firstLine="1134"/>
        <w:jc w:val="both"/>
        <w:rPr>
          <w:lang w:val="es-AR" w:eastAsia="es-AR" w:bidi="es-AR"/>
        </w:rPr>
      </w:pPr>
      <w:r>
        <w:rPr>
          <w:lang w:val="es-AR" w:eastAsia="es-AR" w:bidi="es-AR"/>
        </w:rPr>
        <w:t xml:space="preserve">Por el contrario, no encuentro que la conducta del demandado, quien ya había traspuesto la arteria, claro está en el carril de la mano que venía el actor, haya sido violatoria de normativa alguna, ni que haya inobservado el deber de cuidado, lo que sí se ha probado de la conducta del actor, quien no puede escudarse en el sólo hecho de transitar por una avenida, para no respetar las normas de la conducción responsable.</w:t>
      </w:r>
    </w:p>
    <w:p>
      <w:pPr>
        <w:pStyle w:val="[Normal]"/>
        <w:spacing w:line="480" w:lineRule="auto"/>
        <w:ind w:firstLine="1134"/>
        <w:jc w:val="both"/>
        <w:rPr>
          <w:lang w:val="es-AR" w:eastAsia="es-AR" w:bidi="es-AR"/>
        </w:rPr>
      </w:pPr>
      <w:r>
        <w:rPr>
          <w:lang w:val="es-AR" w:eastAsia="es-AR" w:bidi="es-AR"/>
        </w:rPr>
        <w:t xml:space="preserve">Por último, y no menos importante, cabe recalcar que la parte actora no ha realizado actividad probatoria alguna, siendo que a su parte es la que le correspondía la carga de ello, esto es probar la existencia del daño y su relación de causalidad, esto es la conexión con el hecho ilícito, por imperativo legal (arts.  375 y 165 del C.P.C.).-</w:t>
      </w:r>
    </w:p>
    <w:p>
      <w:pPr>
        <w:pStyle w:val="[Normal]"/>
        <w:spacing w:line="480" w:lineRule="auto"/>
        <w:ind w:firstLine="1134"/>
        <w:jc w:val="both"/>
        <w:rPr>
          <w:lang w:val="es-AR" w:eastAsia="es-AR" w:bidi="es-AR"/>
        </w:rPr>
      </w:pPr>
      <w:r>
        <w:rPr>
          <w:lang w:val="es-AR" w:eastAsia="es-AR" w:bidi="es-AR"/>
        </w:rPr>
        <w:t xml:space="preserve">"Ello así, corresponde destacar que no basta haber sufrido un daño para que esto sea suficiente título de la respectiva indemnización pues es menester establecer el nexo de causalidad entre ese efecto dañoso y el hecho que suscita la responsabilidad en cuestión, en cuanto ese hecho sea el factor por cuyo influjo ocurrió aquel daño (Llambías, "Obligaciones", tº I p. 367, nº 281; art. 499 Cód. Civil; esta Sala causas B-81.017, RSD. 165/95; B-84.271, RSD. 10/97; e.o.) y, en el "sub exámine", la relación de causalidad jurídica no vincula las eventuales omisiones del o los demandados con el efecto dañoso pues, como ya se analizara, el efecto dañoso tiene su origen en la conducta del motociclista , siendo ello así, no existe responsabilidad atribuible al accionado (arts. 499, 512, 902, 1111, 1113 -2da. parte Cód. Civil). .." (CC0203 LP 103483 RSD-89-6 S 6-6-2006, Juez BILLORDO (SD)- CARATULA: Rivas, José Manuel y otros c/ Municipalidad de Florencio Varela y otros OBS. DEL FALLO: Se dictó sentencia juntamente con su acumulada 103483/1 en autos "Iñiguez, Rubén Hugo c/ Municipaliad de Florencio Varela y otro s/ Daños y perjuicios";   Sumario Juba: B352309 ).-</w:t>
      </w:r>
    </w:p>
    <w:p>
      <w:pPr>
        <w:pStyle w:val="[Normal]"/>
        <w:spacing w:line="480" w:lineRule="auto"/>
        <w:ind w:firstLine="1134"/>
        <w:jc w:val="both"/>
        <w:rPr>
          <w:lang w:val="es-AR" w:eastAsia="es-AR" w:bidi="es-AR"/>
        </w:rPr>
      </w:pPr>
      <w:r>
        <w:rPr>
          <w:lang w:val="es-AR" w:eastAsia="es-AR" w:bidi="es-AR"/>
        </w:rPr>
        <w:t xml:space="preserve">Por lo que, y estando acreditado que el daño ocasionado a la accionante, se produjo por su exclusiva culpa, entiendo que se da la eximente de responsabilidad invocada por el demandado, esto es la culpa de la víctima, razón por la que no debe responder (Arts. 1113 y ccs. del Cgo. Civil), corresponde confirmar el rechazo de la demanda que se resolviera en la anterior instancia.-</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No hacer lugar al recurso de apelación deducido por la actora, y con los argumentos expuestos en los considerandos, confirmar la sentencia de primera instancia, en cuanto rechazara la demanda oportunamente incoada por Lisandro Ramón Velázquez, con costas de Alzada a su cargo por resultar vencido (art. 68 del C.P.C. y C.).-</w:t>
      </w:r>
    </w:p>
    <w:p>
      <w:pPr>
        <w:pStyle w:val="[Normal]"/>
        <w:spacing w:line="480" w:lineRule="auto"/>
        <w:ind w:firstLine="1134"/>
        <w:jc w:val="both"/>
        <w:rPr>
          <w:lang w:val="es-AR" w:eastAsia="es-AR" w:bidi="es-AR"/>
        </w:rPr>
      </w:pPr>
      <w:r>
        <w:rPr>
          <w:lang w:val="es-AR" w:eastAsia="es-AR" w:bidi="es-AR"/>
        </w:rPr>
        <w:t xml:space="preserve">Diferir la fijación de honorarios de los letrados intervinientes por las tareas realizadas en esta sede hasta tanto adquiera firmeza la regulación arancelaria efectuada en la anterior instancia. </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No hacer lugar al recurso de apelación deducido por la actora, y con los argumentos expuestos en los considerandos, confirmar la sentencia de primera instancia, en cuanto rechazara la demanda oportunamente incoada por Lisandro Ramón Velázquez, con costas de Alzada a su cargo por resultar vencido (art. 68 del C.P.C. y C.).-</w:t>
      </w:r>
    </w:p>
    <w:p>
      <w:pPr>
        <w:pStyle w:val="[Normal]"/>
        <w:spacing w:line="480" w:lineRule="auto"/>
        <w:ind w:firstLine="1134"/>
        <w:jc w:val="both"/>
        <w:rPr>
          <w:lang w:val="es-AR" w:eastAsia="es-AR" w:bidi="es-AR"/>
        </w:rPr>
      </w:pPr>
      <w:r>
        <w:rPr>
          <w:lang w:val="es-AR" w:eastAsia="es-AR" w:bidi="es-AR"/>
        </w:rPr>
        <w:t xml:space="preserve">Diferir la fijación de honorarios de los letrados intervinientes por las tareas realizadas en esta sede hasta tanto adquiera firmeza la regulación arancelaria efectuada en la anterior instancia. </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0" w:lineRule="atLeast"/>
        <w:ind w:firstLine="1134"/>
        <w:jc w:val="center"/>
        <w:rPr>
          <w:b/>
          <w:color w:val="000000"/>
          <w:lang w:val="es-AR" w:eastAsia="es-AR" w:bidi="es-AR"/>
        </w:rPr>
      </w:pPr>
    </w:p>
    <w:p>
      <w:pPr>
        <w:pStyle w:val="[Normal]"/>
        <w:spacing w:line="0" w:lineRule="atLeast"/>
        <w:jc w:val="center"/>
        <w:rPr>
          <w:b/>
          <w:color w:val="000000"/>
          <w:sz w:val="18"/>
          <w:lang w:val="es-AR" w:eastAsia="es-AR" w:bidi="es-AR"/>
        </w:rPr>
      </w:pPr>
      <w:r>
        <w:rPr>
          <w:b/>
          <w:color w:val="000000"/>
          <w:sz w:val="18"/>
          <w:lang w:val="es-AR" w:eastAsia="es-AR" w:bidi="es-AR"/>
        </w:rPr>
        <w:t xml:space="preserve">                            Roberto Manuel DEGLEUE</w:t>
      </w:r>
    </w:p>
    <w:p>
      <w:pPr>
        <w:pStyle w:val="[Normal]"/>
        <w:spacing w:line="0" w:lineRule="atLeast"/>
        <w:jc w:val="center"/>
        <w:rPr>
          <w:b/>
          <w:color w:val="000000"/>
          <w:sz w:val="18"/>
          <w:lang w:val="es-AR" w:eastAsia="es-AR" w:bidi="es-AR"/>
        </w:rPr>
      </w:pPr>
      <w:r>
        <w:rPr>
          <w:b/>
          <w:color w:val="000000"/>
          <w:sz w:val="18"/>
          <w:lang w:val="es-AR" w:eastAsia="es-AR" w:bidi="es-AR"/>
        </w:rPr>
        <w:t xml:space="preserve">                             Presidente Excma. Cámara de</w:t>
      </w:r>
    </w:p>
    <w:p>
      <w:pPr>
        <w:pStyle w:val="[Normal]"/>
        <w:spacing w:line="0" w:lineRule="atLeast"/>
        <w:ind w:firstLine="1134"/>
        <w:jc w:val="center"/>
        <w:rPr>
          <w:b/>
          <w:color w:val="000000"/>
          <w:sz w:val="18"/>
          <w:lang w:val="es-AR" w:eastAsia="es-AR" w:bidi="es-AR"/>
        </w:rPr>
      </w:pPr>
      <w:r>
        <w:rPr>
          <w:b/>
          <w:color w:val="000000"/>
          <w:sz w:val="18"/>
          <w:lang w:val="es-AR" w:eastAsia="es-AR" w:bidi="es-AR"/>
        </w:rPr>
        <w:t xml:space="preserve">       Apelación en lo Civil y Comercia</w:t>
      </w:r>
    </w:p>
    <w:p>
      <w:pPr>
        <w:pStyle w:val="[Normal]"/>
        <w:spacing w:line="0" w:lineRule="atLeast"/>
        <w:ind w:firstLine="1134"/>
        <w:jc w:val="center"/>
        <w:rPr>
          <w:b/>
          <w:color w:val="000000"/>
          <w:sz w:val="18"/>
          <w:lang w:val="es-AR" w:eastAsia="es-AR" w:bidi="es-AR"/>
        </w:rPr>
      </w:pPr>
      <w:r>
        <w:rPr>
          <w:b/>
          <w:color w:val="000000"/>
          <w:sz w:val="18"/>
          <w:lang w:val="es-AR" w:eastAsia="es-AR" w:bidi="es-AR"/>
        </w:rPr>
        <w:t xml:space="preserve">        Dpto. Judicial Pergamino</w:t>
      </w:r>
    </w:p>
    <w:p>
      <w:pPr>
        <w:pStyle w:val="[Normal]"/>
        <w:spacing w:line="0" w:lineRule="atLeast"/>
        <w:ind w:firstLine="1134"/>
        <w:jc w:val="center"/>
        <w:rPr>
          <w:b/>
          <w:color w:val="000000"/>
          <w:lang w:val="es-AR" w:eastAsia="es-AR" w:bidi="es-AR"/>
        </w:rPr>
      </w:pPr>
    </w:p>
    <w:p>
      <w:pPr>
        <w:pStyle w:val="[Normal]"/>
        <w:spacing w:line="0" w:lineRule="atLeast"/>
        <w:ind w:firstLine="1134"/>
        <w:rPr>
          <w:b/>
          <w:color w:val="000000"/>
          <w:sz w:val="18"/>
          <w:lang w:val="es-AR" w:eastAsia="es-AR" w:bidi="es-AR"/>
        </w:rPr>
      </w:pPr>
      <w:r>
        <w:rPr>
          <w:b/>
          <w:color w:val="000000"/>
          <w:sz w:val="18"/>
          <w:lang w:val="es-AR" w:eastAsia="es-AR" w:bidi="es-AR"/>
        </w:rPr>
        <w:t xml:space="preserve">Graciela SCARAFFIA</w:t>
      </w:r>
    </w:p>
    <w:p>
      <w:pPr>
        <w:pStyle w:val="[Normal]"/>
        <w:spacing w:line="0" w:lineRule="atLeast"/>
        <w:jc w:val="both"/>
        <w:rPr>
          <w:b/>
          <w:color w:val="000000"/>
          <w:lang w:val="es-AR" w:eastAsia="es-AR" w:bidi="es-AR"/>
        </w:rPr>
      </w:pPr>
      <w:r>
        <w:rPr>
          <w:b/>
          <w:color w:val="000000"/>
          <w:sz w:val="18"/>
          <w:lang w:val="es-AR" w:eastAsia="es-AR" w:bidi="es-AR"/>
        </w:rPr>
        <w:t xml:space="preserve">                                  Jueza</w:t>
      </w:r>
      <w:r>
        <w:rPr>
          <w:b/>
          <w:color w:val="000000"/>
          <w:lang w:val="es-AR" w:eastAsia="es-AR" w:bidi="es-AR"/>
        </w:rPr>
        <w:t xml:space="preserve">                           </w:t>
      </w:r>
    </w:p>
    <w:p>
      <w:pPr>
        <w:pStyle w:val="[Normal]"/>
        <w:spacing w:line="0" w:lineRule="atLeast"/>
        <w:jc w:val="both"/>
        <w:rPr>
          <w:b/>
          <w:color w:val="000000"/>
          <w:lang w:val="es-AR" w:eastAsia="es-AR" w:bidi="es-AR"/>
        </w:rPr>
      </w:pPr>
    </w:p>
    <w:p>
      <w:pPr>
        <w:pStyle w:val="[Normal]"/>
        <w:spacing w:line="0" w:lineRule="atLeast"/>
        <w:jc w:val="both"/>
        <w:rPr>
          <w:b/>
          <w:color w:val="000000"/>
          <w:lang w:val="es-AR" w:eastAsia="es-AR" w:bidi="es-AR"/>
        </w:rPr>
      </w:pPr>
    </w:p>
    <w:p>
      <w:pPr>
        <w:pStyle w:val="[Normal]"/>
        <w:spacing w:line="0" w:lineRule="atLeast"/>
        <w:jc w:val="both"/>
        <w:rPr>
          <w:b/>
          <w:color w:val="000000"/>
          <w:lang w:val="es-AR" w:eastAsia="es-AR" w:bidi="es-AR"/>
        </w:rPr>
      </w:pPr>
    </w:p>
    <w:p>
      <w:pPr>
        <w:pStyle w:val="[Normal]"/>
        <w:spacing w:line="0" w:lineRule="atLeast"/>
        <w:jc w:val="both"/>
        <w:rPr>
          <w:b/>
          <w:color w:val="000000"/>
          <w:lang w:val="es-AR" w:eastAsia="es-AR" w:bidi="es-AR"/>
        </w:rPr>
      </w:pPr>
    </w:p>
    <w:p>
      <w:pPr>
        <w:pStyle w:val="[Normal]"/>
        <w:spacing w:line="0" w:lineRule="atLeast"/>
        <w:jc w:val="both"/>
        <w:rPr>
          <w:b/>
          <w:color w:val="000000"/>
          <w:sz w:val="18"/>
          <w:lang w:val="es-AR" w:eastAsia="es-AR" w:bidi="es-AR"/>
        </w:rPr>
      </w:pPr>
      <w:r>
        <w:rPr>
          <w:b/>
          <w:color w:val="000000"/>
          <w:lang w:val="es-AR" w:eastAsia="es-AR" w:bidi="es-AR"/>
        </w:rPr>
        <w:t xml:space="preserve">                                                    </w:t>
      </w:r>
      <w:r>
        <w:rPr>
          <w:b/>
          <w:color w:val="000000"/>
          <w:sz w:val="18"/>
          <w:lang w:val="es-AR" w:eastAsia="es-AR" w:bidi="es-AR"/>
        </w:rPr>
        <w:t xml:space="preserve"> Luis María BIANCO</w:t>
      </w:r>
    </w:p>
    <w:p>
      <w:pPr>
        <w:pStyle w:val="[Normal]"/>
        <w:rPr>
          <w:b/>
          <w:color w:val="000000"/>
          <w:sz w:val="18"/>
          <w:lang w:val="es-AR" w:eastAsia="es-AR" w:bidi="es-AR"/>
        </w:rPr>
      </w:pPr>
      <w:r>
        <w:rPr>
          <w:b/>
          <w:color w:val="000000"/>
          <w:sz w:val="18"/>
          <w:lang w:val="es-AR" w:eastAsia="es-AR" w:bidi="es-AR"/>
        </w:rPr>
        <w:t xml:space="preserve">                                                                          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