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Registro N°  15 /</w:t>
      </w:r>
      <w:r>
        <w:rPr>
          <w:color w:val="000000"/>
          <w:lang w:val="es-AR" w:eastAsia="es-AR" w:bidi="es-AR"/>
        </w:rPr>
        <w:t xml:space="preserve"> 2020</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w:t>
      </w:r>
      <w:r>
        <w:rPr>
          <w:lang w:val="es-AR" w:eastAsia="es-AR" w:bidi="es-AR"/>
        </w:rPr>
        <w:t xml:space="preserve">  90/92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27 de febrero de 2020, reunidos en Acuerdo Ordinario los Sres. Jueces de la Excma. Cámara de Apelación en lo Civil y Comercial del Departamento Judicial Pergamino, para dictar sentencia en la causa N° </w:t>
      </w:r>
      <w:r>
        <w:rPr>
          <w:color w:val="000000"/>
          <w:lang w:val="es-AR" w:eastAsia="es-AR" w:bidi="es-AR"/>
        </w:rPr>
        <w:t xml:space="preserve">3811-19</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SAN ROQUE CAMIONES S.A.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74.372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Roberto Degleue y Graciela Scaraffia,</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Dr. Bernardo Louise dijo:</w:t>
      </w:r>
    </w:p>
    <w:p>
      <w:pPr>
        <w:pStyle w:val="[Normal]"/>
        <w:spacing w:line="480" w:lineRule="auto"/>
        <w:ind w:firstLine="1134"/>
        <w:jc w:val="both"/>
        <w:rPr>
          <w:lang w:val="es-AR" w:eastAsia="es-AR" w:bidi="es-AR"/>
        </w:rPr>
      </w:pPr>
      <w:r>
        <w:rPr>
          <w:lang w:val="es-AR" w:eastAsia="es-AR" w:bidi="es-AR"/>
        </w:rPr>
        <w:t xml:space="preserve">El Sr. Juez de la instancia anterior a fs. 76 dictó sentencia, mandando llevar adelante la ejecución hasta tanto el acreedor haga íntegro pago del capital reclamado en autos de $ 553.992,70, con más los intereses pactados desde la fecha de la mora 16 / 06 / 19.</w:t>
      </w:r>
    </w:p>
    <w:p>
      <w:pPr>
        <w:pStyle w:val="[Normal]"/>
        <w:spacing w:line="480" w:lineRule="auto"/>
        <w:ind w:firstLine="1134"/>
        <w:jc w:val="both"/>
        <w:rPr>
          <w:lang w:val="es-AR" w:eastAsia="es-AR" w:bidi="es-AR"/>
        </w:rPr>
      </w:pPr>
      <w:r>
        <w:rPr>
          <w:lang w:val="es-AR" w:eastAsia="es-AR" w:bidi="es-AR"/>
        </w:rPr>
        <w:t xml:space="preserve">Que la parte actora interpone recurso de revisión y para el caso de apelación en subsidio, siendo este último concedido a fs. 79.</w:t>
      </w:r>
    </w:p>
    <w:p>
      <w:pPr>
        <w:pStyle w:val="[Normal]"/>
        <w:spacing w:line="480" w:lineRule="auto"/>
        <w:ind w:firstLine="1134"/>
        <w:jc w:val="both"/>
        <w:rPr>
          <w:lang w:val="es-AR" w:eastAsia="es-AR" w:bidi="es-AR"/>
        </w:rPr>
      </w:pPr>
      <w:r>
        <w:rPr>
          <w:lang w:val="es-AR" w:eastAsia="es-AR" w:bidi="es-AR"/>
        </w:rPr>
        <w:t xml:space="preserve">A fs. 83, se llaman los autos para resolver y hallándose firme la providencia, la causa se encuentra en condiciones de ser resuelva ( arts. 263 / 267 del CPC.).</w:t>
      </w:r>
    </w:p>
    <w:p>
      <w:pPr>
        <w:pStyle w:val="[Normal]"/>
        <w:spacing w:line="480" w:lineRule="auto"/>
        <w:ind w:firstLine="1134"/>
        <w:jc w:val="both"/>
        <w:rPr>
          <w:lang w:val="es-AR" w:eastAsia="es-AR" w:bidi="es-AR"/>
        </w:rPr>
      </w:pPr>
      <w:r>
        <w:rPr>
          <w:b/>
          <w:lang w:val="es-AR" w:eastAsia="es-AR" w:bidi="es-AR"/>
        </w:rPr>
        <w:t xml:space="preserve">Agravios:</w:t>
      </w:r>
      <w:r>
        <w:rPr>
          <w:lang w:val="es-AR" w:eastAsia="es-AR" w:bidi="es-AR"/>
        </w:rPr>
        <w:t xml:space="preserve"> </w:t>
      </w:r>
    </w:p>
    <w:p>
      <w:pPr>
        <w:pStyle w:val="[Normal]"/>
        <w:spacing w:line="480" w:lineRule="auto"/>
        <w:ind w:firstLine="1134"/>
        <w:jc w:val="both"/>
        <w:rPr>
          <w:lang w:val="es-AR" w:eastAsia="es-AR" w:bidi="es-AR"/>
        </w:rPr>
      </w:pPr>
      <w:r>
        <w:rPr>
          <w:b/>
          <w:lang w:val="es-AR" w:eastAsia="es-AR" w:bidi="es-AR"/>
        </w:rPr>
        <w:t xml:space="preserve">I )</w:t>
      </w:r>
      <w:r>
        <w:rPr>
          <w:lang w:val="es-AR" w:eastAsia="es-AR" w:bidi="es-AR"/>
        </w:rPr>
        <w:t xml:space="preserve"> Se alza la parte actora, por cuanto se fijó como fecha de la mora el día 12.06.2019, cuando corresponde que la misma sea determinada el día 24.05.2019, que es la fecha de cierre de la cuenta corriente ejecutada en autos.</w:t>
      </w:r>
    </w:p>
    <w:p>
      <w:pPr>
        <w:pStyle w:val="[Normal]"/>
        <w:spacing w:line="480" w:lineRule="auto"/>
        <w:ind w:firstLine="1134"/>
        <w:jc w:val="both"/>
        <w:rPr>
          <w:lang w:val="es-AR" w:eastAsia="es-AR" w:bidi="es-AR"/>
        </w:rPr>
      </w:pPr>
      <w:r>
        <w:rPr>
          <w:lang w:val="es-AR" w:eastAsia="es-AR" w:bidi="es-AR"/>
        </w:rPr>
        <w:t xml:space="preserve">Dice que esa es la fecha que debe tomarse, por cuanto la habilidad del documento bancario exige que el saldo se determine al momento de la clausura de la cuenta corriente, sin que sea necesario probar que la institución lo comunicó al cliente, amén de que mi mandante así lo haya hecho.</w:t>
      </w:r>
    </w:p>
    <w:p>
      <w:pPr>
        <w:pStyle w:val="[Normal]"/>
        <w:spacing w:line="480" w:lineRule="auto"/>
        <w:ind w:firstLine="1134"/>
        <w:jc w:val="both"/>
        <w:rPr>
          <w:lang w:val="es-AR" w:eastAsia="es-AR" w:bidi="es-AR"/>
        </w:rPr>
      </w:pPr>
      <w:r>
        <w:rPr>
          <w:b/>
          <w:lang w:val="es-AR" w:eastAsia="es-AR" w:bidi="es-AR"/>
        </w:rPr>
        <w:t xml:space="preserve">II ) </w:t>
      </w:r>
      <w:r>
        <w:rPr>
          <w:lang w:val="es-AR" w:eastAsia="es-AR" w:bidi="es-AR"/>
        </w:rPr>
        <w:t xml:space="preserve">Entrando a decidir la cuestión traída, adelanto que no lleva razón el recurrente.</w:t>
      </w:r>
    </w:p>
    <w:p>
      <w:pPr>
        <w:pStyle w:val="[Normal]"/>
        <w:spacing w:line="480" w:lineRule="auto"/>
        <w:ind w:firstLine="1134"/>
        <w:jc w:val="both"/>
        <w:rPr>
          <w:lang w:val="es-AR" w:eastAsia="es-AR" w:bidi="es-AR"/>
        </w:rPr>
      </w:pPr>
      <w:r>
        <w:rPr>
          <w:lang w:val="es-AR" w:eastAsia="es-AR" w:bidi="es-AR"/>
        </w:rPr>
        <w:t xml:space="preserve">En autos, se persigue el cobro ejecutivo, surgente del saldo deudor de la cuenta corriente de propiedad del ejecutado de autos, de $ 553.992,70 al cierre de la misma ( ver documentación de fs. 29 ).</w:t>
      </w:r>
    </w:p>
    <w:p>
      <w:pPr>
        <w:pStyle w:val="[Normal]"/>
        <w:spacing w:line="480" w:lineRule="auto"/>
        <w:ind w:firstLine="1134"/>
        <w:jc w:val="both"/>
        <w:rPr>
          <w:u w:val="single"/>
          <w:lang w:val="es-AR" w:eastAsia="es-AR" w:bidi="es-AR"/>
        </w:rPr>
      </w:pPr>
      <w:r>
        <w:rPr>
          <w:lang w:val="es-AR" w:eastAsia="es-AR" w:bidi="es-AR"/>
        </w:rPr>
        <w:t xml:space="preserve">Al dictarse sentencia, en relación a la fecha de la mora </w:t>
      </w:r>
      <w:r>
        <w:rPr>
          <w:u w:val="single"/>
          <w:lang w:val="es-AR" w:eastAsia="es-AR" w:bidi="es-AR"/>
        </w:rPr>
        <w:t xml:space="preserve">12 / 06 / 19</w:t>
      </w:r>
      <w:r>
        <w:rPr>
          <w:lang w:val="es-AR" w:eastAsia="es-AR" w:bidi="es-AR"/>
        </w:rPr>
        <w:t xml:space="preserve"> el Juzgado para ello, remite a fs. 32 / 33, que son la carta documento y el aviso de recibo, pero en ambos documentos se consigna como fecha de entrega el día </w:t>
      </w:r>
      <w:r>
        <w:rPr>
          <w:u w:val="single"/>
          <w:lang w:val="es-AR" w:eastAsia="es-AR" w:bidi="es-AR"/>
        </w:rPr>
        <w:t xml:space="preserve">7 de junio de 2019,</w:t>
      </w:r>
      <w:r>
        <w:rPr>
          <w:lang w:val="es-AR" w:eastAsia="es-AR" w:bidi="es-AR"/>
        </w:rPr>
        <w:t xml:space="preserve"> fecha distinta a la determinada en sentencia.</w:t>
      </w:r>
    </w:p>
    <w:p>
      <w:pPr>
        <w:pStyle w:val="[Normal]"/>
        <w:spacing w:line="480" w:lineRule="auto"/>
        <w:ind w:firstLine="1134"/>
        <w:jc w:val="both"/>
        <w:rPr>
          <w:lang w:val="es-AR" w:eastAsia="es-AR" w:bidi="es-AR"/>
        </w:rPr>
      </w:pPr>
      <w:r>
        <w:rPr>
          <w:lang w:val="es-AR" w:eastAsia="es-AR" w:bidi="es-AR"/>
        </w:rPr>
        <w:t xml:space="preserve">La regla general del art. 886 C.C.C. determina que la mora es automática y que sólo se produce por el transcurso del tiempo y en el artículo siguiente da cuenta de las excepciones. Y, ellas son las  obligaciones sujetas a plazo indeterminado tácito y obligaciones sujetas a plazo indeterminado propiamente dicho. En el caso de plazo indeterminado tácito, el acreedor deberá interpelar al deudor para constituirlo en mora. Ello conforme lo establecía claramente el segundo párrafo del art. 509 C.C. y lo que surge de los arts. 886 y 887 inciso b) C.C.C ( cfr. en tal sentido Diario Civil y Obligaciones Nros. 173 - 17.12.2018 Tipos de plazo y mora en el Código Civil y Comercia,  Por Gabriela Rossello ).</w:t>
      </w:r>
    </w:p>
    <w:p>
      <w:pPr>
        <w:pStyle w:val="[Normal]"/>
        <w:spacing w:line="480" w:lineRule="auto"/>
        <w:ind w:firstLine="1134"/>
        <w:jc w:val="both"/>
        <w:rPr>
          <w:lang w:val="es-AR" w:eastAsia="es-AR" w:bidi="es-AR"/>
        </w:rPr>
      </w:pPr>
      <w:r>
        <w:rPr>
          <w:lang w:val="es-AR" w:eastAsia="es-AR" w:bidi="es-AR"/>
        </w:rPr>
        <w:t xml:space="preserve">Desde la jurisprudencia en el mismo sentido se ha dicho que "... Las circunstancias de que constituya título ejecutivo el saldo deudor de cuenta corriente, y que dicho saldo resulte exigible desde su determinación no sirven por sí solas para acarrear la mora del deudor. No se trata de una obligación a la que se le pueda aplicar el sistema de la mora "ex re" - porque es pura y simple - rigiendo en consecuencia el de la "ex persona". Es necesaria entonces, la interpelación al deudor ( arts. 508 y 509, 2° párrafo del Código Civil)..." ( CC0203 LP 124340 RSD-114-19 S 04/06/2019, </w:t>
      </w:r>
      <w:r>
        <w:rPr>
          <w:b/>
          <w:lang w:val="es-AR" w:eastAsia="es-AR" w:bidi="es-AR"/>
        </w:rPr>
        <w:t xml:space="preserve">en similar sentido</w:t>
      </w:r>
      <w:r>
        <w:rPr>
          <w:lang w:val="es-AR" w:eastAsia="es-AR" w:bidi="es-AR"/>
        </w:rPr>
        <w:t xml:space="preserve"> CC0202 LP 119562 1 S 02/02/2016,  CC0003 SM 69094 D-34/15 S 30/04/2015, CC0003 SM 69094 D-34/15 S 30/04/2015 ).</w:t>
      </w:r>
    </w:p>
    <w:p>
      <w:pPr>
        <w:pStyle w:val="[Normal]"/>
        <w:spacing w:line="480" w:lineRule="auto"/>
        <w:ind w:firstLine="1134"/>
        <w:jc w:val="both"/>
        <w:rPr>
          <w:lang w:val="es-AR" w:eastAsia="es-AR" w:bidi="es-AR"/>
        </w:rPr>
      </w:pPr>
      <w:r>
        <w:rPr>
          <w:lang w:val="es-AR" w:eastAsia="es-AR" w:bidi="es-AR"/>
        </w:rPr>
        <w:t xml:space="preserve">Por su parte Nuestra Corte Provincial, desde vieja data ha dicho que " ... A la obligación derivada de un saldo de cuenta corriente bancaria no resulta aplicable la mora ex re, porque es pura y simple, siendo necesario entonces la interpelación (Título Preliminar I, Código de Comercio; arts. 508 y 509, 2º párr. del Código Civil)..." ( SCBA LP Ac 36122 S 24/06/1986, SCBA LP Ac 52768 S 08/03/1994, SCBA LP Ac 47080 S 21/09/1993 ).</w:t>
      </w:r>
    </w:p>
    <w:p>
      <w:pPr>
        <w:pStyle w:val="[Normal]"/>
        <w:spacing w:line="480" w:lineRule="auto"/>
        <w:ind w:firstLine="1134"/>
        <w:jc w:val="both"/>
        <w:rPr>
          <w:lang w:val="es-AR" w:eastAsia="es-AR" w:bidi="es-AR"/>
        </w:rPr>
      </w:pPr>
      <w:r>
        <w:rPr>
          <w:lang w:val="es-AR" w:eastAsia="es-AR" w:bidi="es-AR"/>
        </w:rPr>
        <w:t xml:space="preserve">"... Para que exista mora es menester que haya una obligación exigible, y una deuda es tal cuando el acreedor puede obtener la ejecución forzada o compulsiva de ella (CPCC, arts. 497 y 498 inc. 3º). La mora supone, en palabras de nuestro Máximo Tribunal Provincial, la exigibilidad de la deuda (SCBA, Ac. 34150; Ac. 42.298 ), por cuanto no hay ni puede haber mora si antes la obligación no se ha hecho exigible, mostrándose como un "prius lógico" de aquélla: la mora es la situación anormal de retraso en el cumplimiento por la que atraviesa una obligación ya exigible..." ( CC0100 SN 9849 RSD-137-10 S 02/11/2010 ).</w:t>
      </w:r>
    </w:p>
    <w:p>
      <w:pPr>
        <w:pStyle w:val="[Normal]"/>
        <w:spacing w:line="480" w:lineRule="auto"/>
        <w:ind w:firstLine="1134"/>
        <w:jc w:val="both"/>
        <w:rPr>
          <w:lang w:val="es-AR" w:eastAsia="es-AR" w:bidi="es-AR"/>
        </w:rPr>
      </w:pPr>
      <w:r>
        <w:rPr>
          <w:lang w:val="es-AR" w:eastAsia="es-AR" w:bidi="es-AR"/>
        </w:rPr>
        <w:t xml:space="preserve">En efecto, la obligación no deriva de un hecho ilícito, ni es una obligación a plazo; se trata de una obligación pura y simple que necesita para la incorporación de intereses, la constitución en mora.</w:t>
      </w:r>
    </w:p>
    <w:p>
      <w:pPr>
        <w:pStyle w:val="[Normal]"/>
        <w:spacing w:line="480" w:lineRule="auto"/>
        <w:ind w:firstLine="1134"/>
        <w:jc w:val="both"/>
        <w:rPr>
          <w:lang w:val="es-AR" w:eastAsia="es-AR" w:bidi="es-AR"/>
        </w:rPr>
      </w:pPr>
      <w:r>
        <w:rPr>
          <w:lang w:val="es-AR" w:eastAsia="es-AR" w:bidi="es-AR"/>
        </w:rPr>
        <w:t xml:space="preserve">Entonces, el saldo deudor que se ejecuta conforme el  art. 1406 C.C.C., al que previo a ello, en fecha</w:t>
      </w:r>
      <w:r>
        <w:rPr>
          <w:u w:val="single"/>
          <w:lang w:val="es-AR" w:eastAsia="es-AR" w:bidi="es-AR"/>
        </w:rPr>
        <w:t xml:space="preserve"> 7 de junio de 2019,</w:t>
      </w:r>
      <w:r>
        <w:rPr>
          <w:lang w:val="es-AR" w:eastAsia="es-AR" w:bidi="es-AR"/>
        </w:rPr>
        <w:t xml:space="preserve"> el banco actor intimó por carta documento para que en el plazo de 48 hs su cancelación bajo apercibimiento de accionar judicialmente, es la fecha de la mora.</w:t>
      </w:r>
    </w:p>
    <w:p>
      <w:pPr>
        <w:pStyle w:val="[Normal]"/>
        <w:spacing w:line="480" w:lineRule="auto"/>
        <w:ind w:firstLine="1134"/>
        <w:jc w:val="both"/>
        <w:rPr>
          <w:lang w:val="es-AR" w:eastAsia="es-AR" w:bidi="es-AR"/>
        </w:rPr>
      </w:pPr>
      <w:r>
        <w:rPr>
          <w:lang w:val="es-AR" w:eastAsia="es-AR" w:bidi="es-AR"/>
        </w:rPr>
        <w:t xml:space="preserve">Por las razones dadas, citas legales de referencia </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los Sres. Jueces Roberto Degleue y Graciela Scaraffia por análogos fundamentos votaron en el mismo sentido.</w:t>
      </w:r>
    </w:p>
    <w:p>
      <w:pPr>
        <w:pStyle w:val="[Normal]"/>
        <w:spacing w:line="480" w:lineRule="auto"/>
        <w:ind w:firstLine="1134"/>
        <w:jc w:val="both"/>
        <w:rPr>
          <w:lang w:val="es-AR" w:eastAsia="es-AR" w:bidi="es-AR"/>
        </w:rPr>
      </w:pPr>
      <w:r>
        <w:rPr>
          <w:lang w:val="es-AR" w:eastAsia="es-AR" w:bidi="es-AR"/>
        </w:rPr>
        <w:t xml:space="preserve">A la segunda cuestión el Dr. Bernardo Louise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de apelación deducido. Sin imposición de costas ( art. 68 CPC.).  </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los Sres. Jueces Roberto Degleue y Graciela Scaraffia, por análogos fundamentos votaron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Rechazar el recurso de apelación deducido. Sin imposición de costas ( art. 68 CPC.).</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Roberto Manuel Degleue                   </w:t>
      </w:r>
    </w:p>
    <w:p>
      <w:pPr>
        <w:pStyle w:val="[Normal]"/>
        <w:ind w:firstLine="1134"/>
        <w:jc w:val="center"/>
        <w:rPr>
          <w:b/>
          <w:color w:val="000000"/>
          <w:sz w:val="20"/>
          <w:lang w:val="es-AR" w:eastAsia="es-AR" w:bidi="es-AR"/>
        </w:rPr>
      </w:pPr>
      <w:r>
        <w:rPr>
          <w:b/>
          <w:color w:val="000000"/>
          <w:sz w:val="20"/>
          <w:lang w:val="es-AR" w:eastAsia="es-AR" w:bidi="es-AR"/>
        </w:rPr>
        <w:t xml:space="preserve">       Presidente                               </w:t>
      </w:r>
    </w:p>
    <w:p>
      <w:pPr>
        <w:pStyle w:val="[Normal]"/>
        <w:ind w:firstLine="1134"/>
        <w:jc w:val="center"/>
        <w:rPr>
          <w:b/>
          <w:color w:val="000000"/>
          <w:sz w:val="20"/>
          <w:lang w:val="es-AR" w:eastAsia="es-AR" w:bidi="es-AR"/>
        </w:rPr>
      </w:pPr>
      <w:r>
        <w:rPr>
          <w:b/>
          <w:color w:val="000000"/>
          <w:sz w:val="20"/>
          <w:lang w:val="es-AR" w:eastAsia="es-AR" w:bidi="es-AR"/>
        </w:rPr>
        <w:t xml:space="preserve">Cámara de Apelación en lo                </w:t>
      </w:r>
    </w:p>
    <w:p>
      <w:pPr>
        <w:pStyle w:val="[Normal]"/>
        <w:ind w:firstLine="1134"/>
        <w:jc w:val="center"/>
        <w:rPr>
          <w:b/>
          <w:color w:val="000000"/>
          <w:sz w:val="20"/>
          <w:lang w:val="es-AR" w:eastAsia="es-AR" w:bidi="es-AR"/>
        </w:rPr>
      </w:pPr>
      <w:r>
        <w:rPr>
          <w:b/>
          <w:color w:val="000000"/>
          <w:sz w:val="20"/>
          <w:lang w:val="es-AR" w:eastAsia="es-AR" w:bidi="es-AR"/>
        </w:rPr>
        <w:t xml:space="preserve">         Civil y Comercial                             </w:t>
      </w:r>
    </w:p>
    <w:p>
      <w:pPr>
        <w:pStyle w:val="[Normal]"/>
        <w:ind w:firstLine="1134"/>
        <w:jc w:val="center"/>
        <w:rPr>
          <w:b/>
          <w:color w:val="000000"/>
          <w:sz w:val="20"/>
          <w:lang w:val="es-AR" w:eastAsia="es-AR" w:bidi="es-AR"/>
        </w:rPr>
      </w:pPr>
      <w:r>
        <w:rPr>
          <w:b/>
          <w:color w:val="000000"/>
          <w:sz w:val="20"/>
          <w:lang w:val="es-AR" w:eastAsia="es-AR" w:bidi="es-AR"/>
        </w:rPr>
        <w:t xml:space="preserve">Dpto. Judicial Pergamino                   </w:t>
      </w:r>
    </w:p>
    <w:p>
      <w:pPr>
        <w:pStyle w:val="[Normal]"/>
        <w:ind w:firstLine="1134"/>
        <w:jc w:val="right"/>
        <w:rPr>
          <w:b/>
          <w:color w:val="000000"/>
          <w:sz w:val="20"/>
          <w:lang w:val="es-AR" w:eastAsia="es-AR" w:bidi="es-AR"/>
        </w:rPr>
      </w:pPr>
    </w:p>
    <w:p>
      <w:pPr>
        <w:pStyle w:val="[Normal]"/>
        <w:ind w:firstLine="1134"/>
        <w:jc w:val="right"/>
        <w:rPr>
          <w:b/>
          <w:color w:val="000000"/>
          <w:sz w:val="20"/>
          <w:lang w:val="es-AR" w:eastAsia="es-AR" w:bidi="es-AR"/>
        </w:rPr>
      </w:pPr>
    </w:p>
    <w:p>
      <w:pPr>
        <w:pStyle w:val="[Normal]"/>
        <w:ind w:firstLine="1134"/>
        <w:jc w:val="right"/>
        <w:rPr>
          <w:b/>
          <w:color w:val="000000"/>
          <w:sz w:val="20"/>
          <w:lang w:val="es-AR" w:eastAsia="es-AR" w:bidi="es-AR"/>
        </w:rPr>
      </w:pPr>
    </w:p>
    <w:p>
      <w:pPr>
        <w:pStyle w:val="[Normal]"/>
        <w:ind w:firstLine="1134"/>
        <w:jc w:val="right"/>
        <w:rPr>
          <w:b/>
          <w:color w:val="000000"/>
          <w:sz w:val="20"/>
          <w:lang w:val="es-AR" w:eastAsia="es-AR" w:bidi="es-AR"/>
        </w:rPr>
      </w:pPr>
    </w:p>
    <w:p>
      <w:pPr>
        <w:pStyle w:val="[Normal]"/>
        <w:ind w:firstLine="1134"/>
        <w:jc w:val="right"/>
        <w:rPr>
          <w:b/>
          <w:color w:val="000000"/>
          <w:sz w:val="20"/>
          <w:lang w:val="es-AR" w:eastAsia="es-AR" w:bidi="es-AR"/>
        </w:rPr>
      </w:pPr>
    </w:p>
    <w:p>
      <w:pPr>
        <w:pStyle w:val="[Normal]"/>
        <w:ind w:firstLine="1134"/>
        <w:jc w:val="right"/>
        <w:rPr>
          <w:b/>
          <w:color w:val="000000"/>
          <w:sz w:val="20"/>
          <w:lang w:val="es-AR" w:eastAsia="es-AR" w:bidi="es-AR"/>
        </w:rPr>
      </w:pPr>
    </w:p>
    <w:p>
      <w:pPr>
        <w:pStyle w:val="[Normal]"/>
        <w:ind w:firstLine="1134"/>
        <w:jc w:val="right"/>
        <w:rPr>
          <w:b/>
          <w:color w:val="000000"/>
          <w:sz w:val="20"/>
          <w:lang w:val="es-AR" w:eastAsia="es-AR" w:bidi="es-AR"/>
        </w:rPr>
      </w:pPr>
    </w:p>
    <w:p>
      <w:pPr>
        <w:pStyle w:val="[Normal]"/>
        <w:ind w:firstLine="1134"/>
        <w:jc w:val="right"/>
        <w:rPr>
          <w:b/>
          <w:color w:val="000000"/>
          <w:sz w:val="20"/>
          <w:lang w:val="es-AR" w:eastAsia="es-AR" w:bidi="es-AR"/>
        </w:rPr>
      </w:pPr>
      <w:r>
        <w:rPr>
          <w:b/>
          <w:color w:val="000000"/>
          <w:sz w:val="20"/>
          <w:lang w:val="es-AR" w:eastAsia="es-AR" w:bidi="es-AR"/>
        </w:rPr>
        <w:t xml:space="preserve">                                            Graciela SCARAFFIA         </w:t>
      </w:r>
    </w:p>
    <w:p>
      <w:pPr>
        <w:pStyle w:val="[Normal]"/>
        <w:ind w:firstLine="1134"/>
        <w:jc w:val="right"/>
        <w:rPr>
          <w:b/>
          <w:color w:val="000000"/>
          <w:sz w:val="20"/>
          <w:lang w:val="es-AR" w:eastAsia="es-AR" w:bidi="es-AR"/>
        </w:rPr>
      </w:pPr>
      <w:r>
        <w:rPr>
          <w:b/>
          <w:color w:val="000000"/>
          <w:sz w:val="20"/>
          <w:lang w:val="es-AR" w:eastAsia="es-AR" w:bidi="es-AR"/>
        </w:rPr>
        <w:t xml:space="preserve">                      Jueza                        </w:t>
      </w:r>
    </w:p>
    <w:p>
      <w:pPr>
        <w:pStyle w:val="[Normal]"/>
        <w:ind w:firstLine="1134"/>
        <w:rPr>
          <w:b/>
          <w:color w:val="000000"/>
          <w:sz w:val="20"/>
          <w:lang w:val="es-AR" w:eastAsia="es-AR" w:bidi="es-AR"/>
        </w:rPr>
      </w:pPr>
      <w:r>
        <w:rPr>
          <w:b/>
          <w:color w:val="000000"/>
          <w:sz w:val="20"/>
          <w:lang w:val="es-AR" w:eastAsia="es-AR" w:bidi="es-AR"/>
        </w:rPr>
        <w:t xml:space="preserve"> Bernardo Louise </w:t>
      </w:r>
    </w:p>
    <w:p>
      <w:pPr>
        <w:pStyle w:val="[Normal]"/>
        <w:ind w:firstLine="1134"/>
        <w:rPr>
          <w:b/>
          <w:color w:val="000000"/>
          <w:sz w:val="20"/>
          <w:lang w:val="es-AR" w:eastAsia="es-AR" w:bidi="es-AR"/>
        </w:rPr>
      </w:pPr>
      <w:r>
        <w:rPr>
          <w:b/>
          <w:color w:val="000000"/>
          <w:sz w:val="20"/>
          <w:lang w:val="es-AR" w:eastAsia="es-AR" w:bidi="es-AR"/>
        </w:rPr>
        <w:t xml:space="preserve">          Juez</w:t>
      </w: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Nicolás MARTINEZ</w:t>
      </w:r>
    </w:p>
    <w:p>
      <w:pPr>
        <w:pStyle w:val="[Normal]"/>
        <w:ind w:firstLine="1134"/>
        <w:jc w:val="center"/>
        <w:rPr>
          <w:color w:val="000000"/>
          <w:sz w:val="20"/>
          <w:lang w:val="es-AR" w:eastAsia="es-AR" w:bidi="es-AR"/>
        </w:rPr>
      </w:pPr>
      <w:r>
        <w:rPr>
          <w:b/>
          <w:color w:val="000000"/>
          <w:sz w:val="20"/>
          <w:lang w:val="es-AR" w:eastAsia="es-AR" w:bidi="es-AR"/>
        </w:rPr>
        <w:t xml:space="preserve">Secretario     </w:t>
      </w:r>
    </w:p>
    <w:p>
      <w:pPr>
        <w:pStyle w:val="[Normal]"/>
        <w:rPr>
          <w:color w:val="000000"/>
          <w:sz w:val="2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