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480" w:lineRule="auto"/>
        <w:rPr>
          <w:lang w:val="es-AR" w:eastAsia="es-AR" w:bidi="es-AR"/>
        </w:rPr>
      </w:pPr>
      <w:r>
        <w:rPr>
          <w:b/>
          <w:lang w:val="es-AR" w:eastAsia="es-AR" w:bidi="es-AR"/>
        </w:rPr>
        <w:t xml:space="preserve">	Registro N° 155 /</w:t>
      </w:r>
      <w:r>
        <w:rPr>
          <w:b/>
          <w:color w:val="000000"/>
          <w:lang w:val="es-AR" w:eastAsia="es-AR" w:bidi="es-AR"/>
        </w:rPr>
        <w:t xml:space="preserve">2020</w:t>
      </w:r>
      <w:r>
        <w:rPr>
          <w:color w:val="000000"/>
          <w:lang w:val="es-AR" w:eastAsia="es-AR" w:bidi="es-AR"/>
        </w:rPr>
        <w:t xml:space="preserve"> </w:t>
      </w:r>
    </w:p>
    <w:p>
      <w:pPr>
        <w:pStyle w:val="[Normal]"/>
        <w:spacing w:line="480" w:lineRule="auto"/>
        <w:jc w:val="both"/>
        <w:rPr>
          <w:lang w:val="es-AR" w:eastAsia="es-AR" w:bidi="es-AR"/>
        </w:rPr>
      </w:pPr>
      <w:r>
        <w:rPr>
          <w:lang w:val="es-AR" w:eastAsia="es-AR" w:bidi="es-AR"/>
        </w:rPr>
        <w:t xml:space="preserve">	</w:t>
      </w:r>
      <w:r>
        <w:rPr>
          <w:b/>
          <w:lang w:val="es-AR" w:eastAsia="es-AR" w:bidi="es-AR"/>
        </w:rPr>
        <w:t xml:space="preserve">Fojas 980/984</w:t>
      </w:r>
    </w:p>
    <w:p>
      <w:pPr>
        <w:pStyle w:val="[Normal]"/>
        <w:spacing w:line="48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22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3029-17</w:t>
      </w:r>
      <w:r>
        <w:rPr>
          <w:lang w:val="es-AR" w:eastAsia="es-AR" w:bidi="es-AR"/>
        </w:rPr>
        <w:t xml:space="preserve"> caratulada </w:t>
      </w:r>
      <w:r>
        <w:rPr>
          <w:b/>
          <w:lang w:val="es-AR" w:eastAsia="es-AR" w:bidi="es-AR"/>
        </w:rPr>
        <w:t xml:space="preserve">"</w:t>
      </w:r>
      <w:r>
        <w:rPr>
          <w:b/>
          <w:color w:val="000000"/>
          <w:lang w:val="es-AR" w:eastAsia="es-AR" w:bidi="es-AR"/>
        </w:rPr>
        <w:t xml:space="preserve">RODRIGUEZ GLADYS LUJAN Y OTROS  C/FALVO, GENARO ANTONIO S/ ESCRITURACION (6)</w:t>
      </w:r>
      <w:r>
        <w:rPr>
          <w:b/>
          <w:lang w:val="es-AR" w:eastAsia="es-AR" w:bidi="es-AR"/>
        </w:rPr>
        <w:t xml:space="preserve">"</w:t>
      </w:r>
      <w:r>
        <w:rPr>
          <w:lang w:val="es-AR" w:eastAsia="es-AR" w:bidi="es-AR"/>
        </w:rPr>
        <w:t xml:space="preserve">, Expte. N° </w:t>
      </w:r>
      <w:r>
        <w:rPr>
          <w:color w:val="000000"/>
          <w:lang w:val="es-AR" w:eastAsia="es-AR" w:bidi="es-AR"/>
        </w:rPr>
        <w:t xml:space="preserve">Nº43.087 </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GRACIELA SCARAFFIA Y ROBERTO M.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480" w:lineRule="auto"/>
        <w:ind w:firstLine="1134"/>
        <w:jc w:val="both"/>
        <w:rPr>
          <w:lang w:val="es-AR" w:eastAsia="es-AR" w:bidi="es-AR"/>
        </w:rPr>
      </w:pPr>
      <w:r>
        <w:rPr>
          <w:lang w:val="es-AR" w:eastAsia="es-AR" w:bidi="es-AR"/>
        </w:rPr>
        <w:t xml:space="preserve">El Sr. juez de la instancia anterior luego de resolver  la base regulatoria de los estipendios profesionales, reguló  los honorarios de los letrados Dres. TORRENS JUAN MARIO, CUELLAR ALIAGA RODRIGO FERNANDO, RIERA LEONARDO MARTIN, por sus trabajos realizados en autos, en las cifras de PESOS SETECIENTOS CINCUENTA MIL ($750.000), PESOS CUATROCIENTOS OCHENTA Y OCHO MIL ($488.000), y PESOS TREINTA Y SEIS MIL SETECIENTOS CINCUENTA ($36.750), respectivamente (Arts. 14/18; 21; 27 inc a), 28 ley 8904), con más el 10% en concepto de contribuciones del Art. 12 inc. "a" de la ley 6716 y el porcentaje de ley previsto para el IVA en cuanto correspondiere, a cargo de la parte obligada (arts. 3, 9, 10 y ccs. de la ley 23.349).  Ordenó su registro y  notificar  transcripción del Art. 54 de la ley 8904.  2 ) Impuso  los gastos de la pericia realizada en el escrito judicial de fecha , a cargo de la parte aquí demandada. También reguló  los honorarios profesionales del martillero Gracia Bosco M. Julián Ignacio, por sus trabajos realizados en autos en carácter de perito tasador, en la cifra de Siete  Mil Pesos ($ 7.000), con más el porcentaje establecido para aportes previsionales (Art. 54 Ap.I, Inc.b) y Ap. IIIy IV)  de la ley 10.973 ) y Art. 475 del C.P.C.). y finalmente consideró inoficiosa la labor efectuada por el Dr. MAURICIO ROSELL  y con base en el Art. 30 de la ley 14967, no le reguló honorarios.</w:t>
      </w:r>
    </w:p>
    <w:p>
      <w:pPr>
        <w:pStyle w:val="[Normal]"/>
        <w:spacing w:line="480" w:lineRule="auto"/>
        <w:ind w:firstLine="1134"/>
        <w:jc w:val="both"/>
        <w:rPr>
          <w:b/>
          <w:lang w:val="es-AR" w:eastAsia="es-AR" w:bidi="es-AR"/>
        </w:rPr>
      </w:pPr>
      <w:r>
        <w:rPr>
          <w:lang w:val="es-AR" w:eastAsia="es-AR" w:bidi="es-AR"/>
        </w:rPr>
        <w:t xml:space="preserve">Notificada la resolución interlocutoria, es apelada por la parte demandada mediante presentación electrónica de fecha 11 / 08 / 2020, que mereció la respuesta de la parte actora por idéntico medio en fecha 04 / 09 / 2020. En fecha 22 de Septiembre de 2020 se llaman los autos para resolver  providencia que firme a la fecha deja a la causa en condiciones de ser fallada.</w:t>
      </w:r>
    </w:p>
    <w:p>
      <w:pPr>
        <w:pStyle w:val="[Normal]"/>
        <w:spacing w:line="480" w:lineRule="auto"/>
        <w:ind w:firstLine="1134"/>
        <w:jc w:val="both"/>
        <w:rPr>
          <w:lang w:val="es-AR" w:eastAsia="es-AR" w:bidi="es-AR"/>
        </w:rPr>
      </w:pPr>
      <w:r>
        <w:rPr>
          <w:lang w:val="es-AR" w:eastAsia="es-AR" w:bidi="es-AR"/>
        </w:rPr>
        <w:t xml:space="preserve">1).- Agravios:</w:t>
      </w:r>
    </w:p>
    <w:p>
      <w:pPr>
        <w:pStyle w:val="[Normal]"/>
        <w:spacing w:line="480" w:lineRule="auto"/>
        <w:ind w:firstLine="1134"/>
        <w:jc w:val="both"/>
        <w:rPr>
          <w:lang w:val="es-AR" w:eastAsia="es-AR" w:bidi="es-AR"/>
        </w:rPr>
      </w:pPr>
      <w:r>
        <w:rPr>
          <w:lang w:val="es-AR" w:eastAsia="es-AR" w:bidi="es-AR"/>
        </w:rPr>
        <w:t xml:space="preserve">Primeramente se duele el quejoso de la base arancelaria tenida en cuenta por el Sr. juez a-quo para regular los estipendios profesionales y para ello  dice que la parte contraria solicitó en su oportunidad que se tome como pauta el monto consignado en el boleto de compra venta. Ello  fue rechazado por su parte en el entendimiento que no habiendo una tasación en la causa, correspondía se fije en  la valuación fiscal incrementada en un 20% conforme el art. 27 de la ley 8904, lo que se resolvió en primera instancia de modo desfavorable a su pedimento.</w:t>
      </w:r>
    </w:p>
    <w:p>
      <w:pPr>
        <w:pStyle w:val="[Normal]"/>
        <w:spacing w:line="480" w:lineRule="auto"/>
        <w:ind w:firstLine="1134"/>
        <w:jc w:val="both"/>
        <w:rPr>
          <w:lang w:val="es-AR" w:eastAsia="es-AR" w:bidi="es-AR"/>
        </w:rPr>
      </w:pPr>
      <w:r>
        <w:rPr>
          <w:lang w:val="es-AR" w:eastAsia="es-AR" w:bidi="es-AR"/>
        </w:rPr>
        <w:t xml:space="preserve">Que la apelación deducida  por su parte, fue resuelta por esta Alzada y ahí se ordenó que la cuestión transitara en los términos del art. 27 de la Ley de Honorarios Profesionales y se designe perito tasador, pero considera que ello no correspondía dado que no había impugnación a la estimación del Letrado de la parte contraria.</w:t>
      </w:r>
    </w:p>
    <w:p>
      <w:pPr>
        <w:pStyle w:val="[Normal]"/>
        <w:spacing w:line="480" w:lineRule="auto"/>
        <w:ind w:firstLine="1134"/>
        <w:jc w:val="both"/>
        <w:rPr>
          <w:lang w:val="es-AR" w:eastAsia="es-AR" w:bidi="es-AR"/>
        </w:rPr>
      </w:pPr>
      <w:r>
        <w:rPr>
          <w:lang w:val="es-AR" w:eastAsia="es-AR" w:bidi="es-AR"/>
        </w:rPr>
        <w:t xml:space="preserve">Que de acuerdo al monto que surgiera de la tasación, si ésta es   inferior al estimado por el Letrado, ello que importaría una reducción de los honorarios,  por lo que su parte no se opuso a la tasación. Que el Dr. Torrens no apeló los honorarios que se le regularon, por lo que entendió que el fallo es ajustado a derecho y que la apelación deducida en el peor de los casos a su parte, confirmaría los honorarios del Letrado. Pero que el Profesional (Dr. Torrens) nunca imaginaría que la apelación realizada por su parte, importaría en el caso un incremento en sus emolumentos por cuanto  violaría  la congruencia. Que, la pericia ordenada por esta Alzada no fue ordenada para incrementar los honorarios por cuanto ello incurriría el extra petita, sino por el contrario que ante su apelación se reduzcan los honorarios regulados.</w:t>
      </w:r>
    </w:p>
    <w:p>
      <w:pPr>
        <w:pStyle w:val="[Normal]"/>
        <w:spacing w:line="480" w:lineRule="auto"/>
        <w:ind w:firstLine="1134"/>
        <w:jc w:val="both"/>
        <w:rPr>
          <w:lang w:val="es-AR" w:eastAsia="es-AR" w:bidi="es-AR"/>
        </w:rPr>
      </w:pPr>
      <w:r>
        <w:rPr>
          <w:lang w:val="es-AR" w:eastAsia="es-AR" w:bidi="es-AR"/>
        </w:rPr>
        <w:t xml:space="preserve">Dice además que la tasación efectuada por el experto supera la  realizada por el Letrado por lo que en modo alguno puede tomarse como pauta y ello lo funda en citas de jurisprudencia.</w:t>
      </w:r>
    </w:p>
    <w:p>
      <w:pPr>
        <w:pStyle w:val="[Normal]"/>
        <w:spacing w:line="480" w:lineRule="auto"/>
        <w:ind w:firstLine="1134"/>
        <w:jc w:val="both"/>
        <w:rPr>
          <w:lang w:val="es-AR" w:eastAsia="es-AR" w:bidi="es-AR"/>
        </w:rPr>
      </w:pPr>
      <w:r>
        <w:rPr>
          <w:lang w:val="es-AR" w:eastAsia="es-AR" w:bidi="es-AR"/>
        </w:rPr>
        <w:t xml:space="preserve">También impugna el porcentaje aplicado el que considera excesivo, para lo cual expresa que en autos no se dan en la especie los parámetros determinados en el art. 16 de la ley 8904, como para tomar la pauta del 20 %, por lo que contrariamente entiende que el porcentaje  debe ser menor. Hace reserva del caso federal y solicita que en su oportunidad se haga lugar al recurso de apelación deducido.</w:t>
      </w:r>
    </w:p>
    <w:p>
      <w:pPr>
        <w:pStyle w:val="[Normal]"/>
        <w:spacing w:line="480" w:lineRule="auto"/>
        <w:ind w:firstLine="1134"/>
        <w:jc w:val="both"/>
        <w:rPr>
          <w:lang w:val="es-AR" w:eastAsia="es-AR" w:bidi="es-AR"/>
        </w:rPr>
      </w:pPr>
      <w:r>
        <w:rPr>
          <w:lang w:val="es-AR" w:eastAsia="es-AR" w:bidi="es-AR"/>
        </w:rPr>
        <w:t xml:space="preserve">2).- Responde: La queja, mereció el responde por parte del Dr. Juan M. Torrens, por medio de presentación electrónica de fecha 4/9/2020 y propone el rechazo de la queja. Para lo cual manifiesta que la apelante no  cuestionó la base regulatoria y consintió la tasación del inmueble el que alcanza  la suma de pesos TRES MILLONES SETECIENTOS CINCUENTA MIL ($3.750.000).</w:t>
      </w:r>
    </w:p>
    <w:p>
      <w:pPr>
        <w:pStyle w:val="[Normal]"/>
        <w:spacing w:line="480" w:lineRule="auto"/>
        <w:ind w:firstLine="1134"/>
        <w:jc w:val="both"/>
        <w:rPr>
          <w:lang w:val="es-AR" w:eastAsia="es-AR" w:bidi="es-AR"/>
        </w:rPr>
      </w:pPr>
      <w:r>
        <w:rPr>
          <w:lang w:val="es-AR" w:eastAsia="es-AR" w:bidi="es-AR"/>
        </w:rPr>
        <w:t xml:space="preserve">Y, que en relación al porcentaje, el mismo ha sido conforme a  la ley 8904 la cual establece una escala que va desde el 8 al 25%, que se han cumplido todas las etapas procesales y  se han regulado mis honorarios en un 20%  lo cual   considero justo y equitativo  a la importante labor realizada.</w:t>
      </w:r>
    </w:p>
    <w:p>
      <w:pPr>
        <w:pStyle w:val="[Normal]"/>
        <w:spacing w:line="480" w:lineRule="auto"/>
        <w:ind w:firstLine="1134"/>
        <w:jc w:val="both"/>
        <w:rPr>
          <w:lang w:val="es-AR" w:eastAsia="es-AR" w:bidi="es-AR"/>
        </w:rPr>
      </w:pPr>
      <w:r>
        <w:rPr>
          <w:lang w:val="es-AR" w:eastAsia="es-AR" w:bidi="es-AR"/>
        </w:rPr>
        <w:t xml:space="preserve">3).- En tarea de decidir adelanto la opinión que la queja no puede ser recibida.</w:t>
      </w:r>
    </w:p>
    <w:p>
      <w:pPr>
        <w:pStyle w:val="[Normal]"/>
        <w:spacing w:line="480" w:lineRule="auto"/>
        <w:ind w:firstLine="1134"/>
        <w:jc w:val="both"/>
        <w:rPr>
          <w:lang w:val="es-AR" w:eastAsia="es-AR" w:bidi="es-AR"/>
        </w:rPr>
      </w:pPr>
      <w:r>
        <w:rPr>
          <w:lang w:val="es-AR" w:eastAsia="es-AR" w:bidi="es-AR"/>
        </w:rPr>
        <w:t xml:space="preserve">Para así decidir he de partir que en autos ha ganado firmeza, lo decidido por esta Alzada en fecha 06 de Febrero de 2018, cuando se hizo  lugar al recurso de apelación interpuesto y revocó  la resolución de fs. 240/1, disponiendo que en la instancia primera continúe el procedimiento previsto en el art. 27 inc. a) de la ley 8904, quedando sin efecto las regulaciones de honorarios obrantes a fs. 241.</w:t>
      </w:r>
    </w:p>
    <w:p>
      <w:pPr>
        <w:pStyle w:val="[Normal]"/>
        <w:spacing w:line="480" w:lineRule="auto"/>
        <w:ind w:firstLine="1134"/>
        <w:jc w:val="both"/>
        <w:rPr>
          <w:lang w:val="es-AR" w:eastAsia="es-AR" w:bidi="es-AR"/>
        </w:rPr>
      </w:pPr>
      <w:r>
        <w:rPr>
          <w:lang w:val="es-AR" w:eastAsia="es-AR" w:bidi="es-AR"/>
        </w:rPr>
        <w:t xml:space="preserve">Para llegar a tal conclusión el Sr. juez del primer voto  Roberto M. Degleue dijo: " ... </w:t>
      </w:r>
      <w:r>
        <w:rPr>
          <w:i/>
          <w:lang w:val="es-AR" w:eastAsia="es-AR" w:bidi="es-AR"/>
        </w:rPr>
        <w:t xml:space="preserve">A partir de dicha etapa que procedía en autos, encuentro que el Sr. Juez desacierta en la aplicación de la disposición arancelaria. Es que omite el paso correspondiente en supuesto como el aquí planteado. Ante la oposición del obligado al pago luego del corrido el traslado pertinente de la estimación efectuada -escrito electrónico de fecha 28/3/17-, se abre el procedimiento para la determinación pericial del valor real del inmueble en tanto "...los planteos habidos, motivan la puesta en marcha del mecanismo previsto en la citada norma." (confr. este Cám. causa N°2875 RSI 76/2017). No correspondía entonces sin más, rechazar la oposición de la contraria y tomar como base regulatoria la establecida en el último párrafo del punto III de fs. 239 vta., sino proceder a designar perito en los términos del inc. a) del artículo en cuestión</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Entonces quedó así determinado que ante la oposición a la estimación formulada, correspondía la designación de un perito tasador y ello es lo que ha acontecido, por lo que el agravio y las consideraciones vertidas  en punto a la valuación devienen alcanzadas por la cosa juzgada y consecuentemente  inatendible en esta oportunidad.</w:t>
      </w:r>
    </w:p>
    <w:p>
      <w:pPr>
        <w:pStyle w:val="[Normal]"/>
        <w:spacing w:line="480" w:lineRule="auto"/>
        <w:ind w:firstLine="1134"/>
        <w:jc w:val="both"/>
        <w:rPr>
          <w:lang w:val="es-AR" w:eastAsia="es-AR" w:bidi="es-AR"/>
        </w:rPr>
      </w:pPr>
      <w:r>
        <w:rPr>
          <w:lang w:val="es-AR" w:eastAsia="es-AR" w:bidi="es-AR"/>
        </w:rPr>
        <w:t xml:space="preserve"> Ello dado  la impronta de orden público y jerarquía constitucional que exhibe la cosa juzgada surgente de la sentencia firme, resultando improcedente la pretensión posterior de alterar el sentido del  procedimiento determinado por resolución firme. En tal sentido nuestro Tribunal Superior se ha expedido al efecto: "... El principio de autoridad de la cosa juzgada responde a la necesidad de que el orden y la paz deben imperar en la sociedad poniendo fin a los litigios y evitando que los debates entre partes se renueven indefinidamente..." ( SCBA LP L. 118683 S 18/08/2020 ).</w:t>
      </w:r>
    </w:p>
    <w:p>
      <w:pPr>
        <w:pStyle w:val="[Normal]"/>
        <w:spacing w:line="480" w:lineRule="auto"/>
        <w:ind w:firstLine="1134"/>
        <w:jc w:val="both"/>
        <w:rPr>
          <w:lang w:val="es-AR" w:eastAsia="es-AR" w:bidi="es-AR"/>
        </w:rPr>
      </w:pPr>
      <w:r>
        <w:rPr>
          <w:lang w:val="es-AR" w:eastAsia="es-AR" w:bidi="es-AR"/>
        </w:rPr>
        <w:t xml:space="preserve">A mayor abundamiento cabe decir que en la resolución recurrida el Sr. juez a-quo  tuvo en cuenta la primigenia estimación formulada por el profesional y la desestimó cuando al efecto dijo: "... sumado al excesivo tiempo transcurrido desde que el Dr. Torrens estimara sus honorarios (marzo de 2017 )...".  Ello no fue impugnado y en consecuencia deviene inatendible ( art. 260 CPC.).</w:t>
      </w:r>
    </w:p>
    <w:p>
      <w:pPr>
        <w:pStyle w:val="[Normal]"/>
        <w:spacing w:line="480" w:lineRule="auto"/>
        <w:ind w:firstLine="1134"/>
        <w:jc w:val="both"/>
        <w:rPr>
          <w:lang w:val="es-AR" w:eastAsia="es-AR" w:bidi="es-AR"/>
        </w:rPr>
      </w:pPr>
      <w:r>
        <w:rPr>
          <w:lang w:val="es-AR" w:eastAsia="es-AR" w:bidi="es-AR"/>
        </w:rPr>
        <w:t xml:space="preserve">Tampoco ha de recibirse la crítica en relación al porcentaje determinado por el Sr. juez a-quo, partiendo de la base que el art. 16 de la Ley de Honorarios Profesionales se erige como una guía para determinar un retribución justa y lo deja librado al prudente arbitrio judicial ( cfr. en tal sentido Juan M. Hitters - Silvina Cairo; " Honorarios de Abogados y Procuradores p. 173 y sus citas ).</w:t>
      </w:r>
    </w:p>
    <w:p>
      <w:pPr>
        <w:pStyle w:val="[Normal]"/>
        <w:spacing w:line="480" w:lineRule="auto"/>
        <w:ind w:firstLine="1134"/>
        <w:jc w:val="both"/>
        <w:rPr>
          <w:lang w:val="es-AR" w:eastAsia="es-AR" w:bidi="es-AR"/>
        </w:rPr>
      </w:pPr>
      <w:r>
        <w:rPr>
          <w:lang w:val="es-AR" w:eastAsia="es-AR" w:bidi="es-AR"/>
        </w:rPr>
        <w:t xml:space="preserve">Y la ponderación del Sr. juez a-quo ha sido atinada y ajustada a las constancias de la causa, prolongación y complejidad de la misma. Nótese asimismo que el presente el proceso  de escrituración  es de naturaleza ordinario, de conocimiento amplio ( arts. 319 y 330 y sgtes. CPC.) y tal amplitud es receptada por  el art. 28 de la Ley de Honorarios que  a los fines arancelarios al proceso lo segmenta en etapas a ) Demanda, reconvención y sus contestaciones, b ) actuaciones de prueba y finalmente c ) diligencias y trámites posteriores hasta la terminación del juicio en primera instancia.</w:t>
      </w:r>
    </w:p>
    <w:p>
      <w:pPr>
        <w:pStyle w:val="[Normal]"/>
        <w:spacing w:line="480" w:lineRule="auto"/>
        <w:ind w:firstLine="1134"/>
        <w:jc w:val="both"/>
        <w:rPr>
          <w:lang w:val="es-AR" w:eastAsia="es-AR" w:bidi="es-AR"/>
        </w:rPr>
      </w:pPr>
      <w:r>
        <w:rPr>
          <w:lang w:val="es-AR" w:eastAsia="es-AR" w:bidi="es-AR"/>
        </w:rPr>
        <w:t xml:space="preserve">Así el honorario regulado dentro de los parámetros del art. 21 de la Ley de Honorarios Profesionales,  teniendo en cuenta las distintas etapas transitadas por el Profesional de conformidad  con el art. 28 del mismo texto legal y ponderada su actuación de acuerdo a las pautas del art. 16 de la Ley de Honorarios es ajustado a derecho y merece la confirmación del fallo.</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M. DEGLEUE</w:t>
      </w:r>
      <w:r>
        <w:rPr>
          <w:lang w:val="es-AR" w:eastAsia="es-AR" w:bidi="es-AR"/>
        </w:rPr>
        <w:t xml:space="preserve"> por análogos fundamentos  votaron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de apelación interpuesto y en consecuencia confirmar en un todo el auto regulatorio atacado. Con costas al perdidoso (art. 68 CPC.) y difiero la regulación de los honorarios de los Letrados intervinientes para cuando obre en autos liquidación firme ( art. 31 y 51 de la Ley de Honorarios ).</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GRACIELA SCARAFFIA Y ROBERTO M. DEGLEUE</w:t>
      </w:r>
      <w:r>
        <w:rPr>
          <w:lang w:val="es-AR" w:eastAsia="es-AR" w:bidi="es-AR"/>
        </w:rPr>
        <w:t xml:space="preserve"> por análogos fundamentos votaron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Rechazar el recurso de apelación interpuesto y en consecuencia confirmar en un todo el auto regulatorio atacado. Con costas al perdidoso (art. 68 CPC.) y difiero la regulación de los honorarios de los Letrados intervinientes para cuando obre en autos liquidación firme ( art. 31 y 51 de la Ley de Honorarios ).</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09:47:09 -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10:06:59 -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10:15:31 -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10:40:19 - Luis Maria Bianco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‰8g")è$ƒ;M#Š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247102090004992745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‰8g")è$ƒ;M#Š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247102090004992745</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