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rPr>
          <w:lang w:val="es-AR" w:eastAsia="es-AR" w:bidi="es-AR"/>
        </w:rPr>
      </w:pPr>
    </w:p>
    <w:p>
      <w:pPr>
        <w:pStyle w:val="[Normal]"/>
        <w:spacing w:line="360" w:lineRule="auto"/>
        <w:rPr>
          <w:color w:val="000000"/>
          <w:lang w:val="es-AR" w:eastAsia="es-AR" w:bidi="es-AR"/>
        </w:rPr>
      </w:pPr>
      <w:r>
        <w:rPr>
          <w:b/>
          <w:lang w:val="es-AR" w:eastAsia="es-AR" w:bidi="es-AR"/>
        </w:rPr>
        <w:t xml:space="preserve">	Registro N° 152 /</w:t>
      </w:r>
      <w:r>
        <w:rPr>
          <w:b/>
          <w:color w:val="000000"/>
          <w:lang w:val="es-AR" w:eastAsia="es-AR" w:bidi="es-AR"/>
        </w:rPr>
        <w:t xml:space="preserve">2020</w:t>
      </w:r>
      <w:r>
        <w:rPr>
          <w:color w:val="000000"/>
          <w:lang w:val="es-AR" w:eastAsia="es-AR" w:bidi="es-AR"/>
        </w:rPr>
        <w:t xml:space="preserve"> </w:t>
      </w:r>
    </w:p>
    <w:p>
      <w:pPr>
        <w:pStyle w:val="[Normal]"/>
        <w:spacing w:line="360" w:lineRule="auto"/>
        <w:rPr>
          <w:lang w:val="es-AR" w:eastAsia="es-AR" w:bidi="es-AR"/>
        </w:rPr>
      </w:pP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963/968</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22 de octubre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3840-20</w:t>
      </w:r>
      <w:r>
        <w:rPr>
          <w:lang w:val="es-AR" w:eastAsia="es-AR" w:bidi="es-AR"/>
        </w:rPr>
        <w:t xml:space="preserve"> caratulada </w:t>
      </w:r>
      <w:r>
        <w:rPr>
          <w:b/>
          <w:lang w:val="es-AR" w:eastAsia="es-AR" w:bidi="es-AR"/>
        </w:rPr>
        <w:t xml:space="preserve">"</w:t>
      </w:r>
      <w:r>
        <w:rPr>
          <w:b/>
          <w:color w:val="000000"/>
          <w:lang w:val="es-AR" w:eastAsia="es-AR" w:bidi="es-AR"/>
        </w:rPr>
        <w:t xml:space="preserve">GUILLAUME ANDREA MARIA C/ ALBORNOZ PEDRO JOSE Y OTRO/A S/ PRESCRIPCION ADQUISITIVA LARGA</w:t>
      </w:r>
      <w:r>
        <w:rPr>
          <w:b/>
          <w:lang w:val="es-AR" w:eastAsia="es-AR" w:bidi="es-AR"/>
        </w:rPr>
        <w:t xml:space="preserve">"</w:t>
      </w:r>
      <w:r>
        <w:rPr>
          <w:lang w:val="es-AR" w:eastAsia="es-AR" w:bidi="es-AR"/>
        </w:rPr>
        <w:t xml:space="preserve">, Expte. N° </w:t>
      </w:r>
      <w:r>
        <w:rPr>
          <w:color w:val="000000"/>
          <w:lang w:val="es-AR" w:eastAsia="es-AR" w:bidi="es-AR"/>
        </w:rPr>
        <w:t xml:space="preserve">72126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Roberto Manuel Degleue, Bernardo Louise, Graciela Scaraffia, y estudiados los autos se resolvió  plantear y votar las siguientes: </w:t>
      </w:r>
    </w:p>
    <w:p>
      <w:pPr>
        <w:pStyle w:val="[Normal]"/>
        <w:spacing w:line="360" w:lineRule="auto"/>
        <w:ind w:firstLine="1134"/>
        <w:jc w:val="both"/>
        <w:rPr>
          <w:lang w:val="es-AR" w:eastAsia="es-AR" w:bidi="es-AR"/>
        </w:rPr>
      </w:pPr>
      <w:r>
        <w:rPr>
          <w:b/>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color w:val="000000"/>
          <w:lang w:val="es-AR" w:eastAsia="es-AR" w:bidi="es-AR"/>
        </w:rPr>
      </w:pPr>
      <w:r>
        <w:rPr>
          <w:lang w:val="es-AR" w:eastAsia="es-AR" w:bidi="es-AR"/>
        </w:rPr>
        <w:t xml:space="preserve">El a-quo falló las presentes actuaciones </w:t>
      </w:r>
      <w:r>
        <w:rPr>
          <w:color w:val="000000"/>
          <w:lang w:val="es-AR" w:eastAsia="es-AR" w:bidi="es-AR"/>
        </w:rPr>
        <w:t xml:space="preserve">rechazando la demanda que por Adquisición de dominio por Posesión Veinteñal promoviera la Sra. Andrea María Guillaume contra el Sr. Pedro José Albornoz y/o quien resultara titular del bien inmueble ubicado en la localidad de Mariano Benitez, identificado catastralmente como: Circ. XVIII, Secc. A, Mza. 14, Parc. 15, matrícula inscripta bajo el N° 48.963, partida inmobiliaria 082-3380-9 del Partido de Pergamino, cuyas medidas, linderos y demás datos surgen del plano que luce agregado a fs. 22. </w:t>
      </w:r>
      <w:r>
        <w:rPr>
          <w:lang w:val="es-AR" w:eastAsia="es-AR" w:bidi="es-AR"/>
        </w:rPr>
        <w:t xml:space="preserve">Aplicó las costas a la parte actora vencida (Art. 68 C.P.C.C) </w:t>
      </w:r>
      <w:r>
        <w:rPr>
          <w:color w:val="000000"/>
          <w:lang w:val="es-AR" w:eastAsia="es-AR" w:bidi="es-AR"/>
        </w:rPr>
        <w:t xml:space="preserve">Y difirió la regulación de honorarios hasta tanto se cumpla con lo dispuesto en el Art. 27 de la L.H.P.</w:t>
      </w:r>
    </w:p>
    <w:p>
      <w:pPr>
        <w:pStyle w:val="[Normal]"/>
        <w:spacing w:line="360" w:lineRule="auto"/>
        <w:ind w:firstLine="1134"/>
        <w:jc w:val="both"/>
        <w:rPr>
          <w:b/>
          <w:color w:val="000000"/>
          <w:lang w:val="es-AR" w:eastAsia="es-AR" w:bidi="es-AR"/>
        </w:rPr>
      </w:pPr>
      <w:r>
        <w:rPr>
          <w:color w:val="000000"/>
          <w:lang w:val="es-AR" w:eastAsia="es-AR" w:bidi="es-AR"/>
        </w:rPr>
        <w:t xml:space="preserve">Contra dicha resolución dedujo recurso de apelación la actora a fs. 200, el que fuera concedido libremente a fs. 201, y fundado a fs. 206/215vta, no habiendo la parte  demandada  evacuado el traslado conferido a fs. 216.-</w:t>
      </w:r>
    </w:p>
    <w:p>
      <w:pPr>
        <w:pStyle w:val="[Normal]"/>
        <w:spacing w:line="360" w:lineRule="auto"/>
        <w:ind w:firstLine="1134"/>
        <w:jc w:val="both"/>
        <w:rPr>
          <w:color w:val="000000"/>
          <w:lang w:val="es-AR" w:eastAsia="es-AR" w:bidi="es-AR"/>
        </w:rPr>
      </w:pPr>
      <w:r>
        <w:rPr>
          <w:color w:val="000000"/>
          <w:lang w:val="es-AR" w:eastAsia="es-AR" w:bidi="es-AR"/>
        </w:rPr>
        <w:t xml:space="preserve">En fecha 14/7/20 se llamó autos para sentencia, providencia que firme a la fecha deja la causa en condiciones de ser fallada.-</w:t>
      </w:r>
    </w:p>
    <w:p>
      <w:pPr>
        <w:pStyle w:val="[Normal]"/>
        <w:spacing w:line="360" w:lineRule="auto"/>
        <w:ind w:firstLine="1134"/>
        <w:jc w:val="both"/>
        <w:rPr>
          <w:b/>
          <w:color w:val="000000"/>
          <w:lang w:val="es-AR" w:eastAsia="es-AR" w:bidi="es-AR"/>
        </w:rPr>
      </w:pPr>
      <w:r>
        <w:rPr>
          <w:color w:val="000000"/>
          <w:lang w:val="es-AR" w:eastAsia="es-AR" w:bidi="es-AR"/>
        </w:rPr>
        <w:t xml:space="preserve">Primeramente se agravia del decisorio atacado en cuanto refiere que el pago de la Tasa de Limpieza y Conservación de la Vía Pública se abonó con cierta regularidad recién a partir del año 2016, señalando que de la documentación arrimada surgen pagos de tal tributo realizados en fechas 22/5/02, 30/10/02, 17/6/03, 7/9/05, 24/11/09, 4/6/11, 30/6/11, 14/8/12.-</w:t>
      </w:r>
    </w:p>
    <w:p>
      <w:pPr>
        <w:pStyle w:val="[Normal]"/>
        <w:spacing w:line="360" w:lineRule="auto"/>
        <w:ind w:firstLine="1134"/>
        <w:jc w:val="both"/>
        <w:rPr>
          <w:b/>
          <w:color w:val="000000"/>
          <w:lang w:val="es-AR" w:eastAsia="es-AR" w:bidi="es-AR"/>
        </w:rPr>
      </w:pPr>
      <w:r>
        <w:rPr>
          <w:color w:val="000000"/>
          <w:lang w:val="es-AR" w:eastAsia="es-AR" w:bidi="es-AR"/>
        </w:rPr>
        <w:t xml:space="preserve">Cita jurisprudencia relativa a que para la procedencia del juicio de usucapión no se exige el pago de impuestos por todo el tiempo de la posesión sino por una buena parte de ese lapso, y que se haga en forma medianamente regular, no correspondiendo obligar una puntillosa puntualidad en cuanto a los vencimientos.-</w:t>
      </w:r>
    </w:p>
    <w:p>
      <w:pPr>
        <w:pStyle w:val="[Normal]"/>
        <w:spacing w:line="360" w:lineRule="auto"/>
        <w:ind w:firstLine="1134"/>
        <w:jc w:val="both"/>
        <w:rPr>
          <w:color w:val="000000"/>
          <w:lang w:val="es-AR" w:eastAsia="es-AR" w:bidi="es-AR"/>
        </w:rPr>
      </w:pPr>
      <w:r>
        <w:rPr>
          <w:color w:val="000000"/>
          <w:lang w:val="es-AR" w:eastAsia="es-AR" w:bidi="es-AR"/>
        </w:rPr>
        <w:t xml:space="preserve">Pone de resalto que el pago de tasas e impuestos, a los efectos de probar la posesión, no constituye un elemento de prueba que pueda analizarse aisladamente del contexto de los restantes medios probatorios que obran en la especie, ello en razón de la denominada prueba compuesta exigida en la materia.-</w:t>
      </w:r>
    </w:p>
    <w:p>
      <w:pPr>
        <w:pStyle w:val="[Normal]"/>
        <w:spacing w:line="360" w:lineRule="auto"/>
        <w:ind w:firstLine="1134"/>
        <w:jc w:val="both"/>
        <w:rPr>
          <w:b/>
          <w:color w:val="000000"/>
          <w:lang w:val="es-AR" w:eastAsia="es-AR" w:bidi="es-AR"/>
        </w:rPr>
      </w:pPr>
      <w:r>
        <w:rPr>
          <w:color w:val="000000"/>
          <w:lang w:val="es-AR" w:eastAsia="es-AR" w:bidi="es-AR"/>
        </w:rPr>
        <w:t xml:space="preserve">Y entiende que el a-quo incurrió en una contradicción grave sobre el particular al señalar por un lado </w:t>
      </w:r>
      <w:r>
        <w:rPr>
          <w:i/>
          <w:color w:val="000000"/>
          <w:lang w:val="es-AR" w:eastAsia="es-AR" w:bidi="es-AR"/>
        </w:rPr>
        <w:t xml:space="preserve">"Que, respecto al pago de impuestos, tasas y contribuciones, cierto es que no es necesario que el pago abarque todo el plazo de la posesión, bastando que exteriorice su existencia por una buena parte de ese lapso"</w:t>
      </w:r>
      <w:r>
        <w:rPr>
          <w:color w:val="000000"/>
          <w:lang w:val="es-AR" w:eastAsia="es-AR" w:bidi="es-AR"/>
        </w:rPr>
        <w:t xml:space="preserve">, y por el otro que </w:t>
      </w:r>
      <w:r>
        <w:rPr>
          <w:i/>
          <w:color w:val="000000"/>
          <w:lang w:val="es-AR" w:eastAsia="es-AR" w:bidi="es-AR"/>
        </w:rPr>
        <w:t xml:space="preserve">"para que el pago de impuestos y/o contribuciones adquiera fuerza probatoria considerable, se requiere la oportunidad en la erogación, la periodicidad regular"</w:t>
      </w:r>
      <w:r>
        <w:rPr>
          <w:color w:val="000000"/>
          <w:lang w:val="es-AR" w:eastAsia="es-AR" w:bidi="es-AR"/>
        </w:rPr>
        <w:t xml:space="preserve">.-</w:t>
      </w:r>
    </w:p>
    <w:p>
      <w:pPr>
        <w:pStyle w:val="[Normal]"/>
        <w:spacing w:line="360" w:lineRule="auto"/>
        <w:ind w:firstLine="1134"/>
        <w:jc w:val="both"/>
        <w:rPr>
          <w:b/>
          <w:color w:val="000000"/>
          <w:lang w:val="es-AR" w:eastAsia="es-AR" w:bidi="es-AR"/>
        </w:rPr>
      </w:pPr>
      <w:r>
        <w:rPr>
          <w:color w:val="000000"/>
          <w:lang w:val="es-AR" w:eastAsia="es-AR" w:bidi="es-AR"/>
        </w:rPr>
        <w:t xml:space="preserve">El segundo agravio se centra en la valoración realizada por el a-quo en punto a la prueba ofrecida.-</w:t>
      </w:r>
    </w:p>
    <w:p>
      <w:pPr>
        <w:pStyle w:val="[Normal]"/>
        <w:spacing w:line="360" w:lineRule="auto"/>
        <w:ind w:firstLine="1134"/>
        <w:jc w:val="both"/>
        <w:rPr>
          <w:b/>
          <w:color w:val="000000"/>
          <w:lang w:val="es-AR" w:eastAsia="es-AR" w:bidi="es-AR"/>
        </w:rPr>
      </w:pPr>
      <w:r>
        <w:rPr>
          <w:color w:val="000000"/>
          <w:lang w:val="es-AR" w:eastAsia="es-AR" w:bidi="es-AR"/>
        </w:rPr>
        <w:t xml:space="preserve">Al respecto, principia recordando que en procesos como el de autos rige un especial sistema de pruebas -prueba compuesta- según el cual los elementos arrimados deben ser interpretados en un modo integrador, y no aisladamente.-</w:t>
      </w:r>
    </w:p>
    <w:p>
      <w:pPr>
        <w:pStyle w:val="[Normal]"/>
        <w:spacing w:line="360" w:lineRule="auto"/>
        <w:ind w:firstLine="1134"/>
        <w:jc w:val="both"/>
        <w:rPr>
          <w:b/>
          <w:color w:val="000000"/>
          <w:lang w:val="es-AR" w:eastAsia="es-AR" w:bidi="es-AR"/>
        </w:rPr>
      </w:pPr>
      <w:r>
        <w:rPr>
          <w:color w:val="000000"/>
          <w:lang w:val="es-AR" w:eastAsia="es-AR" w:bidi="es-AR"/>
        </w:rPr>
        <w:t xml:space="preserve">Refiere que además de la documentación enunciada en el punto anterior,</w:t>
      </w:r>
      <w:r>
        <w:rPr>
          <w:b/>
          <w:color w:val="000000"/>
          <w:lang w:val="es-AR" w:eastAsia="es-AR" w:bidi="es-AR"/>
        </w:rPr>
        <w:t xml:space="preserve"> </w:t>
      </w:r>
      <w:r>
        <w:rPr>
          <w:color w:val="000000"/>
          <w:lang w:val="es-AR" w:eastAsia="es-AR" w:bidi="es-AR"/>
        </w:rPr>
        <w:t xml:space="preserve">acompañó pagos relativos a la Tasa por Alumbrado Público correspondientes a los años 2002 y 2009,</w:t>
      </w:r>
      <w:r>
        <w:rPr>
          <w:b/>
          <w:color w:val="000000"/>
          <w:lang w:val="es-AR" w:eastAsia="es-AR" w:bidi="es-AR"/>
        </w:rPr>
        <w:t xml:space="preserve"> </w:t>
      </w:r>
      <w:r>
        <w:rPr>
          <w:color w:val="000000"/>
          <w:lang w:val="es-AR" w:eastAsia="es-AR" w:bidi="es-AR"/>
        </w:rPr>
        <w:t xml:space="preserve">y asimismo distintas facturas por servicios de energía eléctrica, datando la más antigua del año 2005.-</w:t>
      </w:r>
    </w:p>
    <w:p>
      <w:pPr>
        <w:pStyle w:val="[Normal]"/>
        <w:spacing w:line="360" w:lineRule="auto"/>
        <w:ind w:firstLine="1134"/>
        <w:jc w:val="both"/>
        <w:rPr>
          <w:color w:val="000000"/>
          <w:lang w:val="es-AR" w:eastAsia="es-AR" w:bidi="es-AR"/>
        </w:rPr>
      </w:pPr>
      <w:r>
        <w:rPr>
          <w:color w:val="000000"/>
          <w:lang w:val="es-AR" w:eastAsia="es-AR" w:bidi="es-AR"/>
        </w:rPr>
        <w:t xml:space="preserve">Añade que agregó recibo de pago en concepto de honorarios judiciales expedido por el Municipio Local relativo al Titulo Ejecutivo 10-8008</w:t>
      </w:r>
      <w:r>
        <w:rPr>
          <w:b/>
          <w:color w:val="000000"/>
          <w:lang w:val="es-AR" w:eastAsia="es-AR" w:bidi="es-AR"/>
        </w:rPr>
        <w:t xml:space="preserve"> </w:t>
      </w:r>
      <w:r>
        <w:rPr>
          <w:color w:val="000000"/>
          <w:lang w:val="es-AR" w:eastAsia="es-AR" w:bidi="es-AR"/>
        </w:rPr>
        <w:t xml:space="preserve">que data del año 2002, esgrimiendo que tal acto resulta demostrativo de la intención de comportarse como dueño.-</w:t>
      </w:r>
    </w:p>
    <w:p>
      <w:pPr>
        <w:pStyle w:val="[Normal]"/>
        <w:spacing w:line="360" w:lineRule="auto"/>
        <w:ind w:firstLine="1134"/>
        <w:jc w:val="both"/>
        <w:rPr>
          <w:b/>
          <w:color w:val="000000"/>
          <w:lang w:val="es-AR" w:eastAsia="es-AR" w:bidi="es-AR"/>
        </w:rPr>
      </w:pPr>
      <w:r>
        <w:rPr>
          <w:color w:val="000000"/>
          <w:lang w:val="es-AR" w:eastAsia="es-AR" w:bidi="es-AR"/>
        </w:rPr>
        <w:t xml:space="preserve">A mayor abundamiento, señala que obra nota emitida por la Cooperativa Eléctrica de Mariano Benitez, suscripta por el administrador de dicha entidad, donde se acredita la existencia de un contrato entre el Sr. Paz y dicha Cooperativa desde el año 1995.-</w:t>
      </w:r>
    </w:p>
    <w:p>
      <w:pPr>
        <w:pStyle w:val="[Normal]"/>
        <w:spacing w:line="360" w:lineRule="auto"/>
        <w:ind w:firstLine="1134"/>
        <w:jc w:val="both"/>
        <w:rPr>
          <w:b/>
          <w:color w:val="000000"/>
          <w:lang w:val="es-AR" w:eastAsia="es-AR" w:bidi="es-AR"/>
        </w:rPr>
      </w:pPr>
      <w:r>
        <w:rPr>
          <w:color w:val="000000"/>
          <w:lang w:val="es-AR" w:eastAsia="es-AR" w:bidi="es-AR"/>
        </w:rPr>
        <w:t xml:space="preserve">Entiende que de ello se infiere que el nombrado abonó servicios eléctricos desde el año de referencia, advirtiendo que la cesión del medidor de luz hacia su persona pudo efectuarse con el mismo número de usuario en tanto no mediaba deuda alguna.-</w:t>
      </w:r>
    </w:p>
    <w:p>
      <w:pPr>
        <w:pStyle w:val="[Normal]"/>
        <w:spacing w:line="360" w:lineRule="auto"/>
        <w:ind w:firstLine="1134"/>
        <w:jc w:val="both"/>
        <w:rPr>
          <w:b/>
          <w:color w:val="000000"/>
          <w:lang w:val="es-AR" w:eastAsia="es-AR" w:bidi="es-AR"/>
        </w:rPr>
      </w:pPr>
      <w:r>
        <w:rPr>
          <w:color w:val="000000"/>
          <w:lang w:val="es-AR" w:eastAsia="es-AR" w:bidi="es-AR"/>
        </w:rPr>
        <w:t xml:space="preserve">Manifiesta que además se arrimaron comprobantes de pago del Impuesto Inmobiliario de fechas 4/12/16, 3/2/17, 9/1/17, 5/7/17 y el relativo a la cuota 1 año 2018 del tributo en cuestión; y asimismo, pagos por tasas municipales de fechas 27/10/15, 6/4/16, 6/6/16, 30/8/16, 4/11/16, 1/12/16, 29/12/16, 6/3/17, 27/4/17, 5/7/17.-</w:t>
      </w:r>
    </w:p>
    <w:p>
      <w:pPr>
        <w:pStyle w:val="[Normal]"/>
        <w:spacing w:line="360" w:lineRule="auto"/>
        <w:ind w:firstLine="1134"/>
        <w:jc w:val="both"/>
        <w:rPr>
          <w:color w:val="000000"/>
          <w:lang w:val="es-AR" w:eastAsia="es-AR" w:bidi="es-AR"/>
        </w:rPr>
      </w:pPr>
      <w:r>
        <w:rPr>
          <w:color w:val="000000"/>
          <w:lang w:val="es-AR" w:eastAsia="es-AR" w:bidi="es-AR"/>
        </w:rPr>
        <w:t xml:space="preserve">Continúa refiriendo que de las testimoniales prestadas en autos, se desprende la detentación del inmueble a titulo de dueño en forma pública y pacifica e ininterrumpida, por más de 20 años, por el Sr. Paz y luego por ella misma.- </w:t>
      </w:r>
    </w:p>
    <w:p>
      <w:pPr>
        <w:pStyle w:val="[Normal]"/>
        <w:spacing w:line="360" w:lineRule="auto"/>
        <w:ind w:firstLine="1134"/>
        <w:jc w:val="both"/>
        <w:rPr>
          <w:color w:val="000000"/>
          <w:lang w:val="es-AR" w:eastAsia="es-AR" w:bidi="es-AR"/>
        </w:rPr>
      </w:pPr>
      <w:r>
        <w:rPr>
          <w:color w:val="000000"/>
          <w:lang w:val="es-AR" w:eastAsia="es-AR" w:bidi="es-AR"/>
        </w:rPr>
        <w:t xml:space="preserve">Destaca que los testigos fueron contestes en señalar que el Sr. Paz poseyó el inmueble por más de 20 años y que realizó actos posesorios como construcción de un galpón para guardar herramientas, alambrado del predio, y que para abonar tales dichos se encuentran las fotografías del galpón arrimadas a la presente, el cual además se visualiza en el plano de mensura traído.-</w:t>
      </w:r>
    </w:p>
    <w:p>
      <w:pPr>
        <w:pStyle w:val="[Normal]"/>
        <w:spacing w:line="360" w:lineRule="auto"/>
        <w:ind w:firstLine="1134"/>
        <w:jc w:val="both"/>
        <w:rPr>
          <w:color w:val="000000"/>
          <w:lang w:val="es-AR" w:eastAsia="es-AR" w:bidi="es-AR"/>
        </w:rPr>
      </w:pPr>
      <w:r>
        <w:rPr>
          <w:color w:val="000000"/>
          <w:lang w:val="es-AR" w:eastAsia="es-AR" w:bidi="es-AR"/>
        </w:rPr>
        <w:t xml:space="preserve">Sostiene que también se encuentra corroborado con las testimoniales de referencia que su parte prosiguió con la posesión pacifica del inmueble realizando actos posesorios, como ser construcción de una vivienda, y que da cuenta de ello la documental glosada.-</w:t>
      </w:r>
    </w:p>
    <w:p>
      <w:pPr>
        <w:pStyle w:val="[Normal]"/>
        <w:spacing w:line="360" w:lineRule="auto"/>
        <w:ind w:firstLine="1134"/>
        <w:jc w:val="both"/>
        <w:rPr>
          <w:color w:val="000000"/>
          <w:lang w:val="es-AR" w:eastAsia="es-AR" w:bidi="es-AR"/>
        </w:rPr>
      </w:pPr>
      <w:r>
        <w:rPr>
          <w:color w:val="000000"/>
          <w:lang w:val="es-AR" w:eastAsia="es-AR" w:bidi="es-AR"/>
        </w:rPr>
        <w:t xml:space="preserve">Pone de relieve que los testigos son vecinos del lugar, lo que justifica el pleno conocimiento personal y directo de los hechos sobre los que se declara.-</w:t>
      </w:r>
    </w:p>
    <w:p>
      <w:pPr>
        <w:pStyle w:val="[Normal]"/>
        <w:spacing w:line="360" w:lineRule="auto"/>
        <w:ind w:firstLine="1134"/>
        <w:jc w:val="both"/>
        <w:rPr>
          <w:color w:val="000000"/>
          <w:lang w:val="es-AR" w:eastAsia="es-AR" w:bidi="es-AR"/>
        </w:rPr>
      </w:pPr>
      <w:r>
        <w:rPr>
          <w:color w:val="000000"/>
          <w:lang w:val="es-AR" w:eastAsia="es-AR" w:bidi="es-AR"/>
        </w:rPr>
        <w:t xml:space="preserve">Considera que los testimonios prestados resultan abonados por la inspección ocular realizada sobre el inmueble, destacando que la misma fue practicada sin oposición de terceros y relevó claramente tanto la ocupación de aquel como las construcciones y mejoras efectuadas.-</w:t>
      </w:r>
    </w:p>
    <w:p>
      <w:pPr>
        <w:pStyle w:val="[Normal]"/>
        <w:spacing w:line="360" w:lineRule="auto"/>
        <w:ind w:firstLine="1134"/>
        <w:jc w:val="both"/>
        <w:rPr>
          <w:color w:val="000000"/>
          <w:lang w:val="es-AR" w:eastAsia="es-AR" w:bidi="es-AR"/>
        </w:rPr>
      </w:pPr>
      <w:r>
        <w:rPr>
          <w:color w:val="000000"/>
          <w:lang w:val="es-AR" w:eastAsia="es-AR" w:bidi="es-AR"/>
        </w:rPr>
        <w:t xml:space="preserve">Por su parte, se agravia del decisorio en crisis en cuanto sostiene  que </w:t>
      </w:r>
      <w:r>
        <w:rPr>
          <w:i/>
          <w:color w:val="000000"/>
          <w:lang w:val="es-AR" w:eastAsia="es-AR" w:bidi="es-AR"/>
        </w:rPr>
        <w:t xml:space="preserve">"Además, del resto de la documentación acompañada y detallada anteriormente -facturas, recibos- la más antigua data del mes de febrero de 2016 (ver fs. 57) y respecto al pago del servicio eléctrico la mas antigua data de fecha 08/08/2005 (ver fs. 48); no configurándose tampoco el lapso de 20 años que exige la normativa aplicable"</w:t>
      </w:r>
      <w:r>
        <w:rPr>
          <w:color w:val="000000"/>
          <w:lang w:val="es-AR" w:eastAsia="es-AR" w:bidi="es-AR"/>
        </w:rPr>
        <w:t xml:space="preserve">.- </w:t>
      </w:r>
    </w:p>
    <w:p>
      <w:pPr>
        <w:pStyle w:val="[Normal]"/>
        <w:spacing w:line="360" w:lineRule="auto"/>
        <w:ind w:firstLine="1134"/>
        <w:jc w:val="both"/>
        <w:rPr>
          <w:b/>
          <w:color w:val="000000"/>
          <w:lang w:val="es-AR" w:eastAsia="es-AR" w:bidi="es-AR"/>
        </w:rPr>
      </w:pPr>
      <w:r>
        <w:rPr>
          <w:color w:val="000000"/>
          <w:lang w:val="es-AR" w:eastAsia="es-AR" w:bidi="es-AR"/>
        </w:rPr>
        <w:t xml:space="preserve">Al respecto, manifiesta que ha quedado probado que el Sr. Paz siempre mantuvo en buen estado de conservación el inmueble, lo alambró, colocó medidor de luz en el año 1995, construyó un galpón par aguardar herramientas, abonó tasa municipales, honorarios por convenios ejecutivos, y tales actos son los únicos que puede realizar el titular de un terreno baldío, por lo que exigir facturas o recibos resulta casi una prueba diabólica.-</w:t>
      </w:r>
    </w:p>
    <w:p>
      <w:pPr>
        <w:pStyle w:val="[Normal]"/>
        <w:spacing w:line="360" w:lineRule="auto"/>
        <w:ind w:firstLine="1134"/>
        <w:jc w:val="both"/>
        <w:rPr>
          <w:color w:val="000000"/>
          <w:lang w:val="es-AR" w:eastAsia="es-AR" w:bidi="es-AR"/>
        </w:rPr>
      </w:pPr>
      <w:r>
        <w:rPr>
          <w:color w:val="000000"/>
          <w:lang w:val="es-AR" w:eastAsia="es-AR" w:bidi="es-AR"/>
        </w:rPr>
        <w:t xml:space="preserve">En otro orden, sostiene que el fallo en crisis viola el principio de congruencia al resolver la cuestión de fondo apartándose de las constancias obrantes en la causa.-</w:t>
      </w:r>
    </w:p>
    <w:p>
      <w:pPr>
        <w:pStyle w:val="[Normal]"/>
        <w:spacing w:line="360" w:lineRule="auto"/>
        <w:ind w:firstLine="1134"/>
        <w:jc w:val="both"/>
        <w:rPr>
          <w:b/>
          <w:color w:val="000000"/>
          <w:lang w:val="es-AR" w:eastAsia="es-AR" w:bidi="es-AR"/>
        </w:rPr>
      </w:pPr>
      <w:r>
        <w:rPr>
          <w:color w:val="000000"/>
          <w:lang w:val="es-AR" w:eastAsia="es-AR" w:bidi="es-AR"/>
        </w:rPr>
        <w:t xml:space="preserve">Aduna que asimismo resulta violentada la doctrina de los propios actos, si se advierte que el a-quo en todo el iter de la sentencia se va manifestando en un sentido tal que pareciera que va a hacer lugar a la demanda y finalmente en contradicción con todo lo que dijera antes termina rechazándola.-</w:t>
      </w:r>
    </w:p>
    <w:p>
      <w:pPr>
        <w:pStyle w:val="[Normal]"/>
        <w:spacing w:line="360" w:lineRule="auto"/>
        <w:ind w:firstLine="1134"/>
        <w:jc w:val="both"/>
        <w:rPr>
          <w:color w:val="000000"/>
          <w:lang w:val="es-AR" w:eastAsia="es-AR" w:bidi="es-AR"/>
        </w:rPr>
      </w:pPr>
      <w:r>
        <w:rPr>
          <w:color w:val="000000"/>
          <w:lang w:val="es-AR" w:eastAsia="es-AR" w:bidi="es-AR"/>
        </w:rPr>
        <w:t xml:space="preserve">Por último se duele de la imposición de costas, sosteniendo que en razón de la forma en que fuera resuelta la presente -esto es, errónea e injustamente- debió ser eximido de las mismas conforme lo normado por el artículo 68 párr. 2° C.P.C.C.-</w:t>
      </w:r>
    </w:p>
    <w:p>
      <w:pPr>
        <w:pStyle w:val="[Normal]"/>
        <w:spacing w:line="360" w:lineRule="auto"/>
        <w:ind w:firstLine="1134"/>
        <w:jc w:val="both"/>
        <w:rPr>
          <w:b/>
          <w:color w:val="000000"/>
          <w:lang w:val="es-AR" w:eastAsia="es-AR" w:bidi="es-AR"/>
        </w:rPr>
      </w:pPr>
      <w:r>
        <w:rPr>
          <w:color w:val="000000"/>
          <w:lang w:val="es-AR" w:eastAsia="es-AR" w:bidi="es-AR"/>
        </w:rPr>
        <w:t xml:space="preserve">Por lo expuesto, peticiona se revoque el resolutorio apelado, y se haga lugar a la pretensión actoral.-</w:t>
      </w:r>
    </w:p>
    <w:p>
      <w:pPr>
        <w:pStyle w:val="[Normal]"/>
        <w:spacing w:line="360" w:lineRule="auto"/>
        <w:ind w:firstLine="1134"/>
        <w:jc w:val="both"/>
        <w:rPr>
          <w:b/>
          <w:color w:val="000000"/>
          <w:lang w:val="es-AR" w:eastAsia="es-AR" w:bidi="es-AR"/>
        </w:rPr>
      </w:pPr>
      <w:r>
        <w:rPr>
          <w:color w:val="000000"/>
          <w:lang w:val="es-AR" w:eastAsia="es-AR" w:bidi="es-AR"/>
        </w:rPr>
        <w:t xml:space="preserve">En la especie, el examen a realizar se enmarca, como es doctrina del Superior Tribunal de la Provincia, en un criterio muy estricto y riguroso (cfr. SCBA, causa C 98364 del 11/03/2009) pues dada la trascendencia económico social del instituto de la usucapión, la prueba de los hechos en los que se funda debe ser concluyente (cfr. SCBA, causa C 98183 del 11/11/2009).-</w:t>
      </w:r>
    </w:p>
    <w:p>
      <w:pPr>
        <w:pStyle w:val="[Normal]"/>
        <w:spacing w:line="360" w:lineRule="auto"/>
        <w:ind w:firstLine="1134"/>
        <w:jc w:val="both"/>
        <w:rPr>
          <w:b/>
          <w:color w:val="000000"/>
          <w:lang w:val="es-AR" w:eastAsia="es-AR" w:bidi="es-AR"/>
        </w:rPr>
      </w:pPr>
      <w:r>
        <w:rPr>
          <w:color w:val="000000"/>
          <w:lang w:val="es-AR" w:eastAsia="es-AR" w:bidi="es-AR"/>
        </w:rPr>
        <w:t xml:space="preserve">Trátase de un proceso en el que el usucapiente debe acreditar de manera fehaciente los requisitos de la acción de prescripción adquisitiva del dominio -esto es, corpus posesorio y animus domini-, en función de las prescripciones emergentes del artículo 24 de la Ley Nº 14.159 -modificado por el Decreto Ley Nº 5.756/58-, en correlacion con los artículos 4.015 y 4.016 del Código Civil de Vélez y la regulación concordante del artículo 679 del ritual.-  </w:t>
      </w:r>
    </w:p>
    <w:p>
      <w:pPr>
        <w:pStyle w:val="[Normal]"/>
        <w:spacing w:line="360" w:lineRule="auto"/>
        <w:ind w:firstLine="1134"/>
        <w:jc w:val="both"/>
        <w:rPr>
          <w:color w:val="000000"/>
          <w:lang w:val="es-AR" w:eastAsia="es-AR" w:bidi="es-AR"/>
        </w:rPr>
      </w:pPr>
      <w:r>
        <w:rPr>
          <w:color w:val="000000"/>
          <w:lang w:val="es-AR" w:eastAsia="es-AR" w:bidi="es-AR"/>
        </w:rPr>
        <w:t xml:space="preserve">Así, los extremos requeridos para viabilizar la acción de usucapión son la existencia del corpus, entendido como el ejercicio del poder de hecho, de señorío sobre una cosa; del animus, es decir, de la intención de mantener la cosa para sí; y el mantenimiento de ambos requisitos durante el plazo requerido por ley, en forma pública y pacífica (cfr. CC0001 LZ 61653 RSD-154-6 S 20-6-2006, Juez TABERNERO (SD) JUBA B2550662).-</w:t>
      </w:r>
    </w:p>
    <w:p>
      <w:pPr>
        <w:pStyle w:val="[Normal]"/>
        <w:spacing w:line="360" w:lineRule="auto"/>
        <w:ind w:firstLine="1134"/>
        <w:jc w:val="both"/>
        <w:rPr>
          <w:b/>
          <w:color w:val="000000"/>
          <w:lang w:val="es-AR" w:eastAsia="es-AR" w:bidi="es-AR"/>
        </w:rPr>
      </w:pPr>
      <w:r>
        <w:rPr>
          <w:color w:val="000000"/>
          <w:lang w:val="es-AR" w:eastAsia="es-AR" w:bidi="es-AR"/>
        </w:rPr>
        <w:t xml:space="preserve">Por su parte, debe recordarse que, en los supuestos de accesión de posesiones, quien invoque la acumulación, debe demostrar los actos posesorios ejecutados por su antecesor y también los efectuados luego por él mismo, pues el contrato celebrado  -aunque idóneo a los efectos de la accesión- no es hábil para probar la posesión en sí misma, que requiere de actos materiales (cfr. CC0203 LP 113081 RSD-84-11 S 06/09/2011 Juez MENDIVIL (SD) JUBAB355317) (art. 1901 C.C.yC. y su doctrina).-</w:t>
      </w:r>
    </w:p>
    <w:p>
      <w:pPr>
        <w:pStyle w:val="[Normal]"/>
        <w:spacing w:line="360" w:lineRule="auto"/>
        <w:ind w:firstLine="1134"/>
        <w:jc w:val="both"/>
        <w:rPr>
          <w:color w:val="000000"/>
          <w:lang w:val="es-AR" w:eastAsia="es-AR" w:bidi="es-AR"/>
        </w:rPr>
      </w:pPr>
      <w:r>
        <w:rPr>
          <w:color w:val="000000"/>
          <w:lang w:val="es-AR" w:eastAsia="es-AR" w:bidi="es-AR"/>
        </w:rPr>
        <w:t xml:space="preserve">Así las cosas, corresponde entrar a analizar las constancias probatorias obrantes en autos a los fines de aseverar si la actora logró acreditar debidamente la posesión pacífica, pública e ininterrumpida animus domini del bien a usucapir por el plazo de ley previsto por el instituto en cuestión, la cual habría sido iniciada hace más de 20 años por el Sr. Eduardo Eugenio Paz-.- </w:t>
      </w:r>
    </w:p>
    <w:p>
      <w:pPr>
        <w:pStyle w:val="[Normal]"/>
        <w:spacing w:line="360" w:lineRule="auto"/>
        <w:ind w:firstLine="1134"/>
        <w:jc w:val="both"/>
        <w:rPr>
          <w:color w:val="000000"/>
          <w:lang w:val="es-AR" w:eastAsia="es-AR" w:bidi="es-AR"/>
        </w:rPr>
      </w:pPr>
      <w:r>
        <w:rPr>
          <w:color w:val="000000"/>
          <w:lang w:val="es-AR" w:eastAsia="es-AR" w:bidi="es-AR"/>
        </w:rPr>
        <w:t xml:space="preserve">Habiendo invocado la accionante que el nombrado en el año 2015 le cedió, mediante escritura pública, las acciones y derechos posesorios atinentes al referido bien, pretendiendo con ello poder sumar tal posesión a la suya ahora detentada, le correspondía a aquella acreditar la veracidad de las mismas a tales fines.-</w:t>
      </w:r>
    </w:p>
    <w:p>
      <w:pPr>
        <w:pStyle w:val="[Normal]"/>
        <w:spacing w:line="360" w:lineRule="auto"/>
        <w:ind w:firstLine="1134"/>
        <w:jc w:val="both"/>
        <w:rPr>
          <w:b/>
          <w:color w:val="000000"/>
          <w:lang w:val="es-AR" w:eastAsia="es-AR" w:bidi="es-AR"/>
        </w:rPr>
      </w:pPr>
      <w:r>
        <w:rPr>
          <w:color w:val="000000"/>
          <w:lang w:val="es-AR" w:eastAsia="es-AR" w:bidi="es-AR"/>
        </w:rPr>
        <w:t xml:space="preserve">Y estimo que ello no ha acontecido.- </w:t>
      </w:r>
    </w:p>
    <w:p>
      <w:pPr>
        <w:pStyle w:val="[Normal]"/>
        <w:tabs>
          <w:tab w:val="left" w:pos="4099"/>
          <w:tab w:val="clear" w:pos="15876"/>
        </w:tabs>
        <w:spacing w:line="360" w:lineRule="auto"/>
        <w:ind w:firstLine="1134"/>
        <w:jc w:val="both"/>
        <w:rPr>
          <w:b/>
          <w:color w:val="000000"/>
          <w:lang w:val="es-AR" w:eastAsia="es-AR" w:bidi="es-AR"/>
        </w:rPr>
      </w:pPr>
      <w:r>
        <w:rPr>
          <w:color w:val="000000"/>
          <w:lang w:val="es-AR" w:eastAsia="es-AR" w:bidi="es-AR"/>
        </w:rPr>
        <w:t xml:space="preserve">Es que respecto del primero de los recaudos señalados -corpus-, cuadra referir que los testigos que depusieron en autos, concuerdan en que el Sr. Paz, en un principio, y luego la propia actora -a partir de la cesión- detentaron el inmueble motivo del juicio a titulo de dueño, en forma pública y pacífica e ininterrumpida, por más de veinte años sin que nadie los haya molestado, realizando actos posesorios tales como: construcción de galpón y colocación de alambrado -por parte del Sr. Paz-, y construcción de vivienda, pileta, plantación de árboles, colocación de alambrado y tareas de mantenimiento y limpieza del terreno -por parte de la accionante- (fs. 186 y cd arrimado a fs. 202)</w:t>
      </w:r>
      <w:r>
        <w:rPr>
          <w:b/>
          <w:color w:val="000000"/>
          <w:lang w:val="es-AR" w:eastAsia="es-AR" w:bidi="es-AR"/>
        </w:rPr>
        <w:t xml:space="preserve"> </w:t>
      </w:r>
      <w:r>
        <w:rPr>
          <w:color w:val="000000"/>
          <w:lang w:val="es-AR" w:eastAsia="es-AR" w:bidi="es-AR"/>
        </w:rPr>
        <w:t xml:space="preserve">Sin embargo se aprecia que la prueba corroborante de tales testimonios deviene escasa o nula.- </w:t>
      </w:r>
    </w:p>
    <w:p>
      <w:pPr>
        <w:pStyle w:val="[Normal]"/>
        <w:spacing w:line="360" w:lineRule="auto"/>
        <w:ind w:firstLine="1134"/>
        <w:jc w:val="both"/>
        <w:rPr>
          <w:color w:val="000000"/>
          <w:lang w:val="es-AR" w:eastAsia="es-AR" w:bidi="es-AR"/>
        </w:rPr>
      </w:pPr>
      <w:r>
        <w:rPr>
          <w:color w:val="000000"/>
          <w:lang w:val="es-AR" w:eastAsia="es-AR" w:bidi="es-AR"/>
        </w:rPr>
        <w:t xml:space="preserve">Recuérdese que la prueba testimonial es insuficiente por sí sola, siendo preciso por tanto confrontar o ratificar lo dichos de los testigos con otras pruebas que reflejen esos mismos hechos, es decir, que acrediten sus referencias (cfr. Cám. Civ. y Com.2º sala 3 LP, causa 116791 RSD 33/2014) Y aún cuando ello no implica exigir una prueba corroborante de la testifical para cada uno de los actos posesorios invocados y durante cada momento del lapso prescriptivo, sí es necesario que exterioricen la existencia de la posesión o de algunos de sus elementos durante una buena parte del mismo, para que, tratando de reconstruir la verdad que se busca con esos rastros, pueda afirmarse la existencia de la posesión veinteñal (CC0203 LP 112039 RSD-36-10 S 13-4-2010 , Juez MENDIVIL (SD) JUBA B355325).- </w:t>
      </w:r>
    </w:p>
    <w:p>
      <w:pPr>
        <w:pStyle w:val="[Normal]"/>
        <w:spacing w:line="360" w:lineRule="auto"/>
        <w:ind w:firstLine="1134"/>
        <w:jc w:val="both"/>
        <w:rPr>
          <w:color w:val="000000"/>
          <w:lang w:val="es-AR" w:eastAsia="es-AR" w:bidi="es-AR"/>
        </w:rPr>
      </w:pPr>
      <w:r>
        <w:rPr>
          <w:color w:val="000000"/>
          <w:lang w:val="es-AR" w:eastAsia="es-AR" w:bidi="es-AR"/>
        </w:rPr>
        <w:t xml:space="preserve">De las fotografías obrantes a fs. 50/51 no se evidencia con certeza la época en que ha sido levantado el galpón que allí se observa, y menos aún que tal construcción se remonte a más de veinte (20) años como lo denunciara la actora.-</w:t>
      </w:r>
    </w:p>
    <w:p>
      <w:pPr>
        <w:pStyle w:val="[Normal]"/>
        <w:spacing w:line="360" w:lineRule="auto"/>
        <w:ind w:firstLine="1134"/>
        <w:jc w:val="both"/>
        <w:rPr>
          <w:b/>
          <w:color w:val="000000"/>
          <w:lang w:val="es-AR" w:eastAsia="es-AR" w:bidi="es-AR"/>
        </w:rPr>
      </w:pPr>
      <w:r>
        <w:rPr>
          <w:color w:val="000000"/>
          <w:lang w:val="es-AR" w:eastAsia="es-AR" w:bidi="es-AR"/>
        </w:rPr>
        <w:t xml:space="preserve">Sobre el particular, ha de meritarse que de la inspección ocular realizada en el inmueble objeto de autos surge la existencia en el lugar de una vivienda con pileta, ambas de reciente edificación, sin hacerse referencia a galpón alguno de larga data ni vestigios del mismo, por lo que siquiera media seguridad en punto a si las fotografías de referencia se corresponden con el predio que se pretende usucapir (fs. 187).-</w:t>
      </w:r>
    </w:p>
    <w:p>
      <w:pPr>
        <w:pStyle w:val="[Normal]"/>
        <w:spacing w:line="360" w:lineRule="auto"/>
        <w:ind w:firstLine="1134"/>
        <w:jc w:val="both"/>
        <w:rPr>
          <w:color w:val="000000"/>
          <w:lang w:val="es-AR" w:eastAsia="es-AR" w:bidi="es-AR"/>
        </w:rPr>
      </w:pPr>
      <w:r>
        <w:rPr>
          <w:color w:val="000000"/>
          <w:lang w:val="es-AR" w:eastAsia="es-AR" w:bidi="es-AR"/>
        </w:rPr>
        <w:t xml:space="preserve">Por su parte, si bien la escritura de cesión arrimada resulta ser instrumento público, es sabido que el notario da fe sólo del acto acontecido en su presencia y no de las afirmaciones y apreciaciones de los comparecientes, lo cual no significa que los contratos celebrados no sean idóneos a los efectos de la accesión de las posesiones sino que no son hábiles para probar la posesión en sí mimos, que requiere de actos materiales (art. 296 C.C.yC. y su doctrina).-</w:t>
      </w:r>
    </w:p>
    <w:p>
      <w:pPr>
        <w:pStyle w:val="[Normal]"/>
        <w:spacing w:line="360" w:lineRule="auto"/>
        <w:ind w:firstLine="1134"/>
        <w:jc w:val="both"/>
        <w:rPr>
          <w:color w:val="000000"/>
          <w:lang w:val="es-AR" w:eastAsia="es-AR" w:bidi="es-AR"/>
        </w:rPr>
      </w:pPr>
      <w:r>
        <w:rPr>
          <w:color w:val="000000"/>
          <w:lang w:val="es-AR" w:eastAsia="es-AR" w:bidi="es-AR"/>
        </w:rPr>
        <w:t xml:space="preserve">Las fotografías de fs. 103 y 104 darían cuenta de la construcción de vivienda que inició la actora pocos años atrás.-</w:t>
      </w:r>
    </w:p>
    <w:p>
      <w:pPr>
        <w:pStyle w:val="[Normal]"/>
        <w:spacing w:line="360" w:lineRule="auto"/>
        <w:ind w:firstLine="1134"/>
        <w:jc w:val="both"/>
        <w:rPr>
          <w:b/>
          <w:color w:val="000000"/>
          <w:lang w:val="es-AR" w:eastAsia="es-AR" w:bidi="es-AR"/>
        </w:rPr>
      </w:pPr>
      <w:r>
        <w:rPr>
          <w:color w:val="000000"/>
          <w:lang w:val="es-AR" w:eastAsia="es-AR" w:bidi="es-AR"/>
        </w:rPr>
        <w:t xml:space="preserve">Y en relación a la restante documental traída -relativa a la compra de bomba sumergible y tareas de limpieza y mantenimiento-, he de señalar que la más antigua data del año 2016 (fs. 57/59 y 102).-</w:t>
      </w:r>
    </w:p>
    <w:p>
      <w:pPr>
        <w:pStyle w:val="[Normal]"/>
        <w:spacing w:line="360" w:lineRule="auto"/>
        <w:ind w:firstLine="1134"/>
        <w:jc w:val="both"/>
        <w:rPr>
          <w:color w:val="000000"/>
          <w:lang w:val="es-AR" w:eastAsia="es-AR" w:bidi="es-AR"/>
        </w:rPr>
      </w:pPr>
      <w:r>
        <w:rPr>
          <w:color w:val="000000"/>
          <w:lang w:val="es-AR" w:eastAsia="es-AR" w:bidi="es-AR"/>
        </w:rPr>
        <w:t xml:space="preserve">Adúnese que el pago de impuestos deviene irrelevante a los fines de acreditar el elemento material del instituto en análisis puesto que no configura acto posesorio alguno, aunque si puede resultar revelador del animus domini.-</w:t>
      </w:r>
    </w:p>
    <w:p>
      <w:pPr>
        <w:pStyle w:val="[Normal]"/>
        <w:spacing w:line="360" w:lineRule="auto"/>
        <w:ind w:firstLine="1134"/>
        <w:jc w:val="both"/>
        <w:rPr>
          <w:color w:val="000000"/>
          <w:lang w:val="es-AR" w:eastAsia="es-AR" w:bidi="es-AR"/>
        </w:rPr>
      </w:pPr>
      <w:r>
        <w:rPr>
          <w:color w:val="000000"/>
          <w:lang w:val="es-AR" w:eastAsia="es-AR" w:bidi="es-AR"/>
        </w:rPr>
        <w:t xml:space="preserve">Idéntica suerte corre el plano de mensura obrante a fs. 22, pudiendo mal sostenerse con seguridad que la construcción que se observa en el mismo resulta ser el galpón de las fotografías.-</w:t>
      </w:r>
    </w:p>
    <w:p>
      <w:pPr>
        <w:pStyle w:val="[Normal]"/>
        <w:spacing w:line="360" w:lineRule="auto"/>
        <w:ind w:firstLine="1134"/>
        <w:jc w:val="both"/>
        <w:rPr>
          <w:color w:val="000000"/>
          <w:lang w:val="es-AR" w:eastAsia="es-AR" w:bidi="es-AR"/>
        </w:rPr>
      </w:pPr>
      <w:r>
        <w:rPr>
          <w:color w:val="000000"/>
          <w:lang w:val="es-AR" w:eastAsia="es-AR" w:bidi="es-AR"/>
        </w:rPr>
        <w:t xml:space="preserve">Ahora bien, aún en supuesto de tenerse por probado el corpus posesorio mediante actos materiales, debe acreditarse la posesión con animo de dueño, pues la existencia del primero no hace presumirla (cfr. Cám. Civ. y Com DO, causa 85012 RSD 184/07).- </w:t>
      </w:r>
    </w:p>
    <w:p>
      <w:pPr>
        <w:pStyle w:val="[Normal]"/>
        <w:spacing w:line="360" w:lineRule="auto"/>
        <w:ind w:firstLine="1134"/>
        <w:jc w:val="both"/>
        <w:rPr>
          <w:color w:val="000000"/>
          <w:lang w:val="es-AR" w:eastAsia="es-AR" w:bidi="es-AR"/>
        </w:rPr>
      </w:pPr>
      <w:r>
        <w:rPr>
          <w:color w:val="000000"/>
          <w:lang w:val="es-AR" w:eastAsia="es-AR" w:bidi="es-AR"/>
        </w:rPr>
        <w:t xml:space="preserve">Y debe probarse no sólo la posesión animus domini actual, sino también la anterior y especialmente la que tuviera al inicio de la ocupación, como único medio de demostrar el cumplimiento del plazo legal (cfr. CC0003 SM 66994 D-145/13 S 14/11/2013 Juez PEREZ (SD) JUBA B3651195).-</w:t>
      </w:r>
    </w:p>
    <w:p>
      <w:pPr>
        <w:pStyle w:val="[Normal]"/>
        <w:spacing w:line="360" w:lineRule="auto"/>
        <w:ind w:firstLine="1134"/>
        <w:jc w:val="both"/>
        <w:rPr>
          <w:color w:val="000000"/>
          <w:lang w:val="es-AR" w:eastAsia="es-AR" w:bidi="es-AR"/>
        </w:rPr>
      </w:pPr>
      <w:r>
        <w:rPr>
          <w:color w:val="000000"/>
          <w:lang w:val="es-AR" w:eastAsia="es-AR" w:bidi="es-AR"/>
        </w:rPr>
        <w:t xml:space="preserve">Siendo criterio sostenido que la eficacia convictiva del pago de impuestos, depende del modo en que los pagos se hayan ido realizando. Para gozar de fuerza probatoria, los pagos deben haberse ido sucediendo en forma medianamente regular, aunque no corresponde exigir una puntillosa puntualidad en cuanto a los vencimientos (cfr. Cám. Civ. y Com. JU, causa 43712 RSD 7-51/10).-</w:t>
      </w:r>
    </w:p>
    <w:p>
      <w:pPr>
        <w:pStyle w:val="[Normal]"/>
        <w:spacing w:line="360" w:lineRule="auto"/>
        <w:ind w:firstLine="1134"/>
        <w:jc w:val="both"/>
        <w:rPr>
          <w:color w:val="000000"/>
          <w:lang w:val="es-AR" w:eastAsia="es-AR" w:bidi="es-AR"/>
        </w:rPr>
      </w:pPr>
      <w:r>
        <w:rPr>
          <w:lang w:val="es-AR" w:eastAsia="es-AR" w:bidi="es-AR"/>
        </w:rPr>
        <w:t xml:space="preserve">Al respecto, el a-quo ha desechado de plano su debida acreditación a través de la prueba documental traída, y coincido con ello.-</w:t>
      </w:r>
    </w:p>
    <w:p>
      <w:pPr>
        <w:pStyle w:val="[Normal]"/>
        <w:spacing w:line="360" w:lineRule="auto"/>
        <w:ind w:firstLine="1134"/>
        <w:jc w:val="both"/>
        <w:rPr>
          <w:color w:val="000000"/>
          <w:lang w:val="es-AR" w:eastAsia="es-AR" w:bidi="es-AR"/>
        </w:rPr>
      </w:pPr>
      <w:r>
        <w:rPr>
          <w:color w:val="000000"/>
          <w:lang w:val="es-AR" w:eastAsia="es-AR" w:bidi="es-AR"/>
        </w:rPr>
        <w:t xml:space="preserve">Pues, adviértase que los comprobantes de pago arrimados lejos se encuentran de abarcar gran parte del lapso de ley ni demuestran regularidad alguna en el pago de los impuestos y servicios.-</w:t>
      </w:r>
    </w:p>
    <w:p>
      <w:pPr>
        <w:pStyle w:val="[Normal]"/>
        <w:spacing w:line="360" w:lineRule="auto"/>
        <w:ind w:firstLine="1134"/>
        <w:jc w:val="both"/>
        <w:rPr>
          <w:b/>
          <w:color w:val="000000"/>
          <w:lang w:val="es-AR" w:eastAsia="es-AR" w:bidi="es-AR"/>
        </w:rPr>
      </w:pPr>
      <w:r>
        <w:rPr>
          <w:color w:val="000000"/>
          <w:lang w:val="es-AR" w:eastAsia="es-AR" w:bidi="es-AR"/>
        </w:rPr>
        <w:t xml:space="preserve">De fecha anterior a la cesión de derechos y acciones posesorias glosada -esto es, previo al año 2015-, sólo se han acompañado: cuatro (4) comprobantes de pago de Tasa de Alumbrado Público, doce (12) atinentes al tributo de Limpieza y Conservación de la Vía Pública, y cuatro (4) relativos al Servicio de Luz eléctrica, datando los más antiguos del año 2002. Adúnese que deviene irrelevante la época en que habría sido colocado el medidor de luz a nombre del Sr. Paz, puesto que a los efectos de acreditar el animus domini lo que importa es la fecha de los pagos efectuados por dicho servicio, datando el más antiguo del año 2005.-</w:t>
      </w:r>
    </w:p>
    <w:p>
      <w:pPr>
        <w:pStyle w:val="[Normal]"/>
        <w:spacing w:line="360" w:lineRule="auto"/>
        <w:ind w:firstLine="1134"/>
        <w:jc w:val="both"/>
        <w:rPr>
          <w:color w:val="000000"/>
          <w:lang w:val="es-AR" w:eastAsia="es-AR" w:bidi="es-AR"/>
        </w:rPr>
      </w:pPr>
      <w:r>
        <w:rPr>
          <w:color w:val="000000"/>
          <w:lang w:val="es-AR" w:eastAsia="es-AR" w:bidi="es-AR"/>
        </w:rPr>
        <w:t xml:space="preserve">Y de época posterior, se han traído únicamente: diez (10) comprobantes de pago relativos a la Tasa de Limpieza y Conservación, siete (7) por el Impuesto Inmobiliario, y dos (2) atinentes al Servicio de Luz Eléctrica.-</w:t>
      </w:r>
    </w:p>
    <w:p>
      <w:pPr>
        <w:pStyle w:val="[Normal]"/>
        <w:spacing w:line="360" w:lineRule="auto"/>
        <w:ind w:firstLine="1134"/>
        <w:jc w:val="both"/>
        <w:rPr>
          <w:color w:val="000000"/>
          <w:lang w:val="es-AR" w:eastAsia="es-AR" w:bidi="es-AR"/>
        </w:rPr>
      </w:pPr>
      <w:r>
        <w:rPr>
          <w:color w:val="000000"/>
          <w:lang w:val="es-AR" w:eastAsia="es-AR" w:bidi="es-AR"/>
        </w:rPr>
        <w:t xml:space="preserve">Dilucidada desfavorablemente la cuestión atinente a la accesión de posesiones pretendida por la actora resta señalar que la supuesta posesión a título de dueño ejercida por la misma respecto del bien objeto de autos recién desde el año 2015, tampoco resultaría hábil a los fines de habilitar en autos la procedencia del instituto en cuestión, ello por no abarcar aquella el plazo de ley exigido por el mismo.-</w:t>
      </w:r>
    </w:p>
    <w:p>
      <w:pPr>
        <w:pStyle w:val="[Normal]"/>
        <w:spacing w:line="360" w:lineRule="auto"/>
        <w:ind w:firstLine="1134"/>
        <w:jc w:val="both"/>
        <w:rPr>
          <w:color w:val="000000"/>
          <w:lang w:val="es-AR" w:eastAsia="es-AR" w:bidi="es-AR"/>
        </w:rPr>
      </w:pPr>
      <w:r>
        <w:rPr>
          <w:color w:val="000000"/>
          <w:lang w:val="es-AR" w:eastAsia="es-AR" w:bidi="es-AR"/>
        </w:rPr>
        <w:t xml:space="preserve">En consecuencia, no encontrándose en la especie satisfechos los recaudos exigidos por la normativa de fondo aplicable en la materia -como ser, verificación del corpus y del animus, durante el plazo requerido por ley, en forma pública y pacífica-, estimo deviene improcedente la acción intentada.-</w:t>
      </w:r>
    </w:p>
    <w:p>
      <w:pPr>
        <w:pStyle w:val="[Normal]"/>
        <w:spacing w:line="360" w:lineRule="auto"/>
        <w:ind w:firstLine="1134"/>
        <w:jc w:val="both"/>
        <w:rPr>
          <w:color w:val="000000"/>
          <w:lang w:val="es-AR" w:eastAsia="es-AR" w:bidi="es-AR"/>
        </w:rPr>
      </w:pPr>
      <w:r>
        <w:rPr>
          <w:color w:val="000000"/>
          <w:lang w:val="es-AR" w:eastAsia="es-AR" w:bidi="es-AR"/>
        </w:rPr>
        <w:t xml:space="preserve">A su vez, no se advierte que la decisión adoptada en primera instancia viole el principio de congruencia, entendido éste como la correspondencia entre la pretensión jurídica planteada y lo resuelto; su sentido es que el pleito sea conducido en términos de razonable equilibrio -dentro de la bilateralidad del contradictorio- de manera que la sentencia se muestre atenta a la pretensión jurídica que forma el contenido de la disputa y no ocurra un quebrantamiento de la misma. No se observan omisiones en la consideración de la temática planteada ni una demasía decisoria que signifique una excedencia de juzgamiento por ocuparse el juez de cuestiones no planteadas.-</w:t>
      </w:r>
    </w:p>
    <w:p>
      <w:pPr>
        <w:pStyle w:val="[Normal]"/>
        <w:spacing w:line="360" w:lineRule="auto"/>
        <w:ind w:firstLine="1134"/>
        <w:jc w:val="both"/>
        <w:rPr>
          <w:b/>
          <w:color w:val="000000"/>
          <w:lang w:val="es-AR" w:eastAsia="es-AR" w:bidi="es-AR"/>
        </w:rPr>
      </w:pPr>
      <w:r>
        <w:rPr>
          <w:color w:val="000000"/>
          <w:lang w:val="es-AR" w:eastAsia="es-AR" w:bidi="es-AR"/>
        </w:rPr>
        <w:t xml:space="preserve">Y mal puede sostenerse que el fallo en crisis configure una violación a la doctrina de los propios actos, puesto que no media contradicción alguna con anteriores conductas deliberadas, jurídicamente relevantes y plenamente eficaces del juzgador.-</w:t>
      </w:r>
    </w:p>
    <w:p>
      <w:pPr>
        <w:pStyle w:val="[Normal]"/>
        <w:spacing w:line="360" w:lineRule="auto"/>
        <w:ind w:firstLine="1134"/>
        <w:jc w:val="both"/>
        <w:rPr>
          <w:color w:val="000000"/>
          <w:lang w:val="es-AR" w:eastAsia="es-AR" w:bidi="es-AR"/>
        </w:rPr>
      </w:pPr>
      <w:r>
        <w:rPr>
          <w:color w:val="000000"/>
          <w:lang w:val="es-AR" w:eastAsia="es-AR" w:bidi="es-AR"/>
        </w:rPr>
        <w:t xml:space="preserve">En lo atinente a las costas del proceso, he de señalar que atento el principio rector en la materia -costas al vencido- corresponde confirmar lo decidido por el a-quo respecto de dicho punto. No se aprecia supuesto alguno que amerite excepcionar el mismo (arts. 68/69 C.P.C.C.).-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Graciela Scaraffia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y en consecuencia confirmar el decisorio atacado.-</w:t>
      </w:r>
    </w:p>
    <w:p>
      <w:pPr>
        <w:pStyle w:val="[Normal]"/>
        <w:spacing w:line="360" w:lineRule="auto"/>
        <w:ind w:firstLine="1134"/>
        <w:jc w:val="both"/>
        <w:rPr>
          <w:lang w:val="es-AR" w:eastAsia="es-AR" w:bidi="es-AR"/>
        </w:rPr>
      </w:pPr>
      <w:r>
        <w:rPr>
          <w:lang w:val="es-AR" w:eastAsia="es-AR" w:bidi="es-AR"/>
        </w:rPr>
        <w:t xml:space="preserve">Costas a la actora vencida (arts. 68/69 C.P.C..C.).-</w:t>
      </w:r>
    </w:p>
    <w:p>
      <w:pPr>
        <w:pStyle w:val="[Normal]"/>
        <w:spacing w:line="360" w:lineRule="auto"/>
        <w:ind w:firstLine="1134"/>
        <w:jc w:val="both"/>
        <w:rPr>
          <w:lang w:val="es-AR" w:eastAsia="es-AR" w:bidi="es-AR"/>
        </w:rPr>
      </w:pPr>
      <w:r>
        <w:rPr>
          <w:lang w:val="es-AR" w:eastAsia="es-AR" w:bidi="es-AR"/>
        </w:rPr>
        <w:t xml:space="preserve">Diferir la regulación de honorarios profesionales hasta tanto obre base firme a tales efectos (art. 31 L.H.P.).-</w:t>
      </w:r>
    </w:p>
    <w:p>
      <w:pPr>
        <w:pStyle w:val="[Normal]"/>
        <w:spacing w:line="360" w:lineRule="auto"/>
        <w:ind w:firstLine="1134"/>
        <w:jc w:val="both"/>
        <w:rPr>
          <w:lang w:val="es-AR" w:eastAsia="es-AR" w:bidi="es-AR"/>
        </w:rPr>
      </w:pPr>
      <w:r>
        <w:rPr>
          <w:lang w:val="es-AR" w:eastAsia="es-AR" w:bidi="es-AR"/>
        </w:rPr>
        <w:t xml:space="preserve">ASI LO VOTO.-</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Graciela Scaraffia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deducido, y en consecuencia confirmar el decisorio atacado.-</w:t>
      </w:r>
    </w:p>
    <w:p>
      <w:pPr>
        <w:pStyle w:val="[Normal]"/>
        <w:spacing w:line="360" w:lineRule="auto"/>
        <w:ind w:firstLine="1134"/>
        <w:jc w:val="both"/>
        <w:rPr>
          <w:lang w:val="es-AR" w:eastAsia="es-AR" w:bidi="es-AR"/>
        </w:rPr>
      </w:pPr>
      <w:r>
        <w:rPr>
          <w:lang w:val="es-AR" w:eastAsia="es-AR" w:bidi="es-AR"/>
        </w:rPr>
        <w:t xml:space="preserve">Costas a la actora vencida (arts. 68/69 C.P.C..C.).-</w:t>
      </w:r>
    </w:p>
    <w:p>
      <w:pPr>
        <w:pStyle w:val="[Normal]"/>
        <w:spacing w:line="360" w:lineRule="auto"/>
        <w:ind w:firstLine="1134"/>
        <w:jc w:val="both"/>
        <w:rPr>
          <w:lang w:val="es-AR" w:eastAsia="es-AR" w:bidi="es-AR"/>
        </w:rPr>
      </w:pPr>
      <w:r>
        <w:rPr>
          <w:lang w:val="es-AR" w:eastAsia="es-AR" w:bidi="es-AR"/>
        </w:rPr>
        <w:t xml:space="preserve">Diferir la regulación de honorarios profesionales hasta tanto obre base firme a tales efectos (art. 31 L.H.P.).-</w:t>
      </w:r>
    </w:p>
    <w:p>
      <w:pPr>
        <w:pStyle w:val="[Normal]"/>
        <w:spacing w:line="360" w:lineRule="auto"/>
        <w:ind w:firstLine="1134"/>
        <w:jc w:val="both"/>
        <w:rPr>
          <w:lang w:val="es-AR" w:eastAsia="es-AR" w:bidi="es-AR"/>
        </w:rPr>
      </w:pPr>
      <w:r>
        <w:rPr>
          <w:lang w:val="es-AR" w:eastAsia="es-AR" w:bidi="es-AR"/>
        </w:rPr>
        <w:t xml:space="preserve">Regístrese. Notifíquese. Devuélvase.-</w:t>
      </w:r>
    </w:p>
    <w:p>
      <w:pPr>
        <w:pStyle w:val="[Normal]"/>
        <w:spacing w:line="360" w:lineRule="auto"/>
        <w:ind w:firstLine="1134"/>
        <w:jc w:val="both"/>
        <w:rPr>
          <w:color w:val="000000"/>
          <w:lang w:val="es-AR" w:eastAsia="es-AR" w:bidi="es-AR"/>
        </w:rPr>
      </w:pPr>
    </w:p>
    <w:p>
      <w:pPr>
        <w:pStyle w:val="[Normal]"/>
        <w:spacing w:line="360" w:lineRule="auto"/>
        <w:ind w:firstLine="1134"/>
        <w:rPr>
          <w:b/>
          <w:color w:val="000000"/>
          <w:sz w:val="20"/>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09:46:25 -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10:05:51 -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10:14:31 -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10:40:07 - Luis Maria Bianco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‰8N")è$~W&lt;|Š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244602090004945528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‰8N")è$~W&lt;|Š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244602090004945528</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