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139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897/903</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06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3843-20</w:t>
      </w:r>
      <w:r>
        <w:rPr>
          <w:lang w:val="es-AR" w:eastAsia="es-AR" w:bidi="es-AR"/>
        </w:rPr>
        <w:t xml:space="preserve"> caratulados </w:t>
      </w:r>
      <w:r>
        <w:rPr>
          <w:b/>
          <w:i/>
          <w:lang w:val="es-AR" w:eastAsia="es-AR" w:bidi="es-AR"/>
        </w:rPr>
        <w:t xml:space="preserve">"</w:t>
      </w:r>
      <w:r>
        <w:rPr>
          <w:b/>
          <w:i/>
          <w:color w:val="000000"/>
          <w:lang w:val="es-AR" w:eastAsia="es-AR" w:bidi="es-AR"/>
        </w:rPr>
        <w:t xml:space="preserve">FERNANDEZ MONICA ZULEMA  C/ ABRAHAM NESTOR RENE S/ COBRO SUMARIO SUMAS DINERO (EXC.ALQUILERES, ETC.)</w:t>
      </w:r>
      <w:r>
        <w:rPr>
          <w:b/>
          <w:i/>
          <w:lang w:val="es-AR" w:eastAsia="es-AR" w:bidi="es-AR"/>
        </w:rPr>
        <w:t xml:space="preserve">"</w:t>
      </w:r>
      <w:r>
        <w:rPr>
          <w:b/>
          <w:lang w:val="es-AR" w:eastAsia="es-AR" w:bidi="es-AR"/>
        </w:rPr>
        <w:t xml:space="preserve">,</w:t>
      </w:r>
      <w:r>
        <w:rPr>
          <w:lang w:val="es-AR" w:eastAsia="es-AR" w:bidi="es-AR"/>
        </w:rPr>
        <w:t xml:space="preserve"> Expte. N° 82429 del </w:t>
      </w:r>
      <w:r>
        <w:rPr>
          <w:color w:val="000000"/>
          <w:lang w:val="es-AR" w:eastAsia="es-AR" w:bidi="es-AR"/>
        </w:rPr>
        <w:t xml:space="preserve">Juzgado en lo Civil y Comercial N° 2 </w:t>
      </w:r>
      <w:r>
        <w:rPr>
          <w:lang w:val="es-AR" w:eastAsia="es-AR" w:bidi="es-AR"/>
        </w:rPr>
        <w:t xml:space="preserve">departamental, encontrándose el Dr. Bernardo Louise excusado a fs. 365, se ordenó la integración de este Tribunal y se practicó el sorteo de ley que determinó que la votación debía efectuarse en el siguiente orden: Roberto Manuel Degleue y Graciela Scaraffia, y estudiados los autos se resolvió plantear y votar las siguientes: </w:t>
      </w:r>
    </w:p>
    <w:p>
      <w:pPr>
        <w:pStyle w:val="[Normal]"/>
        <w:spacing w:line="360" w:lineRule="auto"/>
        <w:ind w:firstLine="1134"/>
        <w:jc w:val="both"/>
        <w:rPr>
          <w:color w:val="000000"/>
          <w:lang w:val="es-AR" w:eastAsia="es-AR" w:bidi="es-AR"/>
        </w:rPr>
      </w:pPr>
      <w:r>
        <w:rPr>
          <w:b/>
          <w:color w:val="000000"/>
          <w:u w:val="single"/>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340"/>
        <w:jc w:val="both"/>
        <w:rPr>
          <w:color w:val="000000"/>
          <w:lang w:val="es-AR" w:eastAsia="es-AR" w:bidi="es-AR"/>
        </w:rPr>
      </w:pPr>
      <w:r>
        <w:rPr>
          <w:color w:val="000000"/>
          <w:lang w:val="es-AR" w:eastAsia="es-AR" w:bidi="es-AR"/>
        </w:rPr>
        <w:t xml:space="preserve">            El señor Juez de la anterior sede falló en las presentes actuaciones rechazando la demanda de cobro de sumas de dinero y daños y perjuicios intentada por la actora Mónica Zulema Fernández contra Néstor René Abraham. Impuso las costas a la actora perdidosa y difirió la regulación de honorarios.</w:t>
      </w:r>
    </w:p>
    <w:p>
      <w:pPr>
        <w:pStyle w:val="[Normal]"/>
        <w:spacing w:line="360" w:lineRule="auto"/>
        <w:ind w:firstLine="1134"/>
        <w:jc w:val="both"/>
        <w:rPr>
          <w:color w:val="000000"/>
          <w:lang w:val="es-AR" w:eastAsia="es-AR" w:bidi="es-AR"/>
        </w:rPr>
      </w:pPr>
      <w:r>
        <w:rPr>
          <w:color w:val="000000"/>
          <w:lang w:val="es-AR" w:eastAsia="es-AR" w:bidi="es-AR"/>
        </w:rPr>
        <w:t xml:space="preserve">Apela la actora a fs. 361, recurso concedido libremente a fs. 362, y elevados los autos a esta Alzada se ordena expresar agravios a la actora a fs. 366, haciéndolo efectivo el 12/03/2020 (fs.367/443).</w:t>
      </w:r>
    </w:p>
    <w:p>
      <w:pPr>
        <w:pStyle w:val="[Normal]"/>
        <w:spacing w:line="360" w:lineRule="auto"/>
        <w:ind w:firstLine="1134"/>
        <w:jc w:val="both"/>
        <w:rPr>
          <w:color w:val="000000"/>
          <w:lang w:val="es-AR" w:eastAsia="es-AR" w:bidi="es-AR"/>
        </w:rPr>
      </w:pPr>
      <w:r>
        <w:rPr>
          <w:color w:val="000000"/>
          <w:lang w:val="es-AR" w:eastAsia="es-AR" w:bidi="es-AR"/>
        </w:rPr>
        <w:t xml:space="preserve">La actora en su presentación -fs. 440-, solicita la apertura a prueba de la causa en esta Alzada, no haciéndose lugar a lo solicitado mediante resolución de fecha 4/06/2020.</w:t>
      </w:r>
    </w:p>
    <w:p>
      <w:pPr>
        <w:pStyle w:val="[Normal]"/>
        <w:spacing w:line="360" w:lineRule="auto"/>
        <w:ind w:firstLine="1134"/>
        <w:jc w:val="both"/>
        <w:rPr>
          <w:color w:val="000000"/>
          <w:lang w:val="es-AR" w:eastAsia="es-AR" w:bidi="es-AR"/>
        </w:rPr>
      </w:pPr>
      <w:r>
        <w:rPr>
          <w:color w:val="000000"/>
          <w:lang w:val="es-AR" w:eastAsia="es-AR" w:bidi="es-AR"/>
        </w:rPr>
        <w:t xml:space="preserve">Se agravia la quejosa en primer lugar en tanto para ella ha existido</w:t>
      </w:r>
      <w:r>
        <w:rPr>
          <w:b/>
          <w:color w:val="000000"/>
          <w:lang w:val="es-AR" w:eastAsia="es-AR" w:bidi="es-AR"/>
        </w:rPr>
        <w:t xml:space="preserve"> </w:t>
      </w:r>
      <w:r>
        <w:rPr>
          <w:color w:val="000000"/>
          <w:lang w:val="es-AR" w:eastAsia="es-AR" w:bidi="es-AR"/>
        </w:rPr>
        <w:t xml:space="preserve">error grave y ostensible por parte del juez de grado en cuanto a la desinterpretación material de pruebas esenciales y hechos, llegando así a conclusiones incoherentes en el orden formal e insostenibles en el plano axiológico, manifestando que la sentencia debe ser declarada nula y revocada íntegramente por no contener ni estar fundada en un análisis razonado de pruebas, generando grave lesión al derecho de defensa.</w:t>
      </w:r>
    </w:p>
    <w:p>
      <w:pPr>
        <w:pStyle w:val="[Normal]"/>
        <w:spacing w:line="360" w:lineRule="auto"/>
        <w:ind w:firstLine="1134"/>
        <w:jc w:val="both"/>
        <w:rPr>
          <w:color w:val="000000"/>
          <w:lang w:val="es-AR" w:eastAsia="es-AR" w:bidi="es-AR"/>
        </w:rPr>
      </w:pPr>
      <w:r>
        <w:rPr>
          <w:color w:val="000000"/>
          <w:lang w:val="es-AR" w:eastAsia="es-AR" w:bidi="es-AR"/>
        </w:rPr>
        <w:t xml:space="preserve">Sostiene que se</w:t>
      </w:r>
      <w:r>
        <w:rPr>
          <w:b/>
          <w:color w:val="000000"/>
          <w:lang w:val="es-AR" w:eastAsia="es-AR" w:bidi="es-AR"/>
        </w:rPr>
        <w:t xml:space="preserve"> </w:t>
      </w:r>
      <w:r>
        <w:rPr>
          <w:color w:val="000000"/>
          <w:lang w:val="es-AR" w:eastAsia="es-AR" w:bidi="es-AR"/>
        </w:rPr>
        <w:t xml:space="preserve">ha</w:t>
      </w:r>
      <w:r>
        <w:rPr>
          <w:b/>
          <w:color w:val="000000"/>
          <w:lang w:val="es-AR" w:eastAsia="es-AR" w:bidi="es-AR"/>
        </w:rPr>
        <w:t xml:space="preserve"> </w:t>
      </w:r>
      <w:r>
        <w:rPr>
          <w:color w:val="000000"/>
          <w:lang w:val="es-AR" w:eastAsia="es-AR" w:bidi="es-AR"/>
        </w:rPr>
        <w:t xml:space="preserve">incurrido en arbitrariedad pues no constituye una derivación razonada del derecho vigente con aplicación a las circunstancias comprobadas de la causa, a fin de resguardar la defensa en juicio y el debido proceso.</w:t>
      </w:r>
    </w:p>
    <w:p>
      <w:pPr>
        <w:pStyle w:val="[Normal]"/>
        <w:spacing w:line="360" w:lineRule="auto"/>
        <w:ind w:firstLine="1134"/>
        <w:jc w:val="both"/>
        <w:rPr>
          <w:color w:val="000000"/>
          <w:lang w:val="es-AR" w:eastAsia="es-AR" w:bidi="es-AR"/>
        </w:rPr>
      </w:pPr>
      <w:r>
        <w:rPr>
          <w:color w:val="000000"/>
          <w:lang w:val="es-AR" w:eastAsia="es-AR" w:bidi="es-AR"/>
        </w:rPr>
        <w:t xml:space="preserve">Considera que se omitió incomprensiblemente tener en cuenta los reconocimientos expresos que realizó el demandado en su escrito de contestación de demanda, generando la convicción jurídica de su acreditación en autos, y su correlato lógico, la no necesidad de acreditar nada respecto a los mismos.</w:t>
      </w:r>
    </w:p>
    <w:p>
      <w:pPr>
        <w:pStyle w:val="[Normal]"/>
        <w:spacing w:line="360" w:lineRule="auto"/>
        <w:ind w:firstLine="1134"/>
        <w:jc w:val="both"/>
        <w:rPr>
          <w:color w:val="000000"/>
          <w:lang w:val="es-AR" w:eastAsia="es-AR" w:bidi="es-AR"/>
        </w:rPr>
      </w:pPr>
      <w:r>
        <w:rPr>
          <w:color w:val="000000"/>
          <w:lang w:val="es-AR" w:eastAsia="es-AR" w:bidi="es-AR"/>
        </w:rPr>
        <w:t xml:space="preserve">Señala la reiterada inconducta procesal asumida por el demandado a lo largo de todo el proceso, al negar maliciosamente parte de la prueba documental, la letra que se le atribuía, el correo electrónico y la veracidad de todos los mails incorporados originalmente como prueba documental, la que sería posteriormente acreditada mediante las pruebas periciales caligráficas e informática. Dice que el sentenciante ha violentado abierta y frontalmente la manda del art. 384 CPCCBA que pone en su cabeza la obligación de no omitir prueba esencial y decisiva para el fallo de la causa.</w:t>
      </w:r>
    </w:p>
    <w:p>
      <w:pPr>
        <w:pStyle w:val="[Normal]"/>
        <w:spacing w:line="360" w:lineRule="auto"/>
        <w:ind w:firstLine="1134"/>
        <w:jc w:val="both"/>
        <w:rPr>
          <w:color w:val="000000"/>
          <w:lang w:val="es-AR" w:eastAsia="es-AR" w:bidi="es-AR"/>
        </w:rPr>
      </w:pPr>
      <w:r>
        <w:rPr>
          <w:color w:val="000000"/>
          <w:lang w:val="es-AR" w:eastAsia="es-AR" w:bidi="es-AR"/>
        </w:rPr>
        <w:t xml:space="preserve">Argumenta que el reclamo postulatorio tenía su fundamento en una relación contractual </w:t>
      </w:r>
      <w:r>
        <w:rPr>
          <w:i/>
          <w:color w:val="000000"/>
          <w:lang w:val="es-AR" w:eastAsia="es-AR" w:bidi="es-AR"/>
        </w:rPr>
        <w:t xml:space="preserve">no escrita</w:t>
      </w:r>
      <w:r>
        <w:rPr>
          <w:color w:val="000000"/>
          <w:lang w:val="es-AR" w:eastAsia="es-AR" w:bidi="es-AR"/>
        </w:rPr>
        <w:t xml:space="preserve">, una deuda</w:t>
      </w:r>
      <w:r>
        <w:rPr>
          <w:i/>
          <w:color w:val="000000"/>
          <w:lang w:val="es-AR" w:eastAsia="es-AR" w:bidi="es-AR"/>
        </w:rPr>
        <w:t xml:space="preserve"> no documentada, </w:t>
      </w:r>
      <w:r>
        <w:rPr>
          <w:color w:val="000000"/>
          <w:lang w:val="es-AR" w:eastAsia="es-AR" w:bidi="es-AR"/>
        </w:rPr>
        <w:t xml:space="preserve">generada de manera acumulativa durante un vínculo contractual que duró varios años.</w:t>
      </w:r>
    </w:p>
    <w:p>
      <w:pPr>
        <w:pStyle w:val="[Normal]"/>
        <w:spacing w:line="360" w:lineRule="auto"/>
        <w:ind w:firstLine="1134"/>
        <w:jc w:val="both"/>
        <w:rPr>
          <w:color w:val="000000"/>
          <w:lang w:val="es-AR" w:eastAsia="es-AR" w:bidi="es-AR"/>
        </w:rPr>
      </w:pPr>
      <w:r>
        <w:rPr>
          <w:color w:val="000000"/>
          <w:lang w:val="es-AR" w:eastAsia="es-AR" w:bidi="es-AR"/>
        </w:rPr>
        <w:t xml:space="preserve">Dice que la prueba principal estaría dada por los registros informáticos y lo que aportaran los testigos ofrecidos, siendo el medio utilizado para rendirse cuentas de los créditos generados a favor de la actora y los saldos a favor del demandado. </w:t>
      </w:r>
    </w:p>
    <w:p>
      <w:pPr>
        <w:pStyle w:val="[Normal]"/>
        <w:spacing w:line="360" w:lineRule="auto"/>
        <w:ind w:firstLine="1134"/>
        <w:jc w:val="both"/>
        <w:rPr>
          <w:color w:val="000000"/>
          <w:lang w:val="es-AR" w:eastAsia="es-AR" w:bidi="es-AR"/>
        </w:rPr>
      </w:pPr>
      <w:r>
        <w:rPr>
          <w:color w:val="000000"/>
          <w:lang w:val="es-AR" w:eastAsia="es-AR" w:bidi="es-AR"/>
        </w:rPr>
        <w:t xml:space="preserve">Sostiene que siendo en este caso la pericia informática de carácter esencial y decisivo, ante la existencia de imposibilidad con el sistema informático empleado por el poder judicial, el sentenciante omitió entrar a la "nube" de Google Drive a través del enlace creado por el perito informático, incurriendo en el absurdo de omitir así la prueba esencial, lo que torna nulo el fallo atacado al que tilda de arbitrario en tanto el Juez afirma en sentencia que la parte actora no logró acreditar la existencia del crédito reclamado. </w:t>
      </w:r>
    </w:p>
    <w:p>
      <w:pPr>
        <w:pStyle w:val="[Normal]"/>
        <w:spacing w:line="360" w:lineRule="auto"/>
        <w:ind w:firstLine="1134"/>
        <w:jc w:val="both"/>
        <w:rPr>
          <w:color w:val="000000"/>
          <w:lang w:val="es-AR" w:eastAsia="es-AR" w:bidi="es-AR"/>
        </w:rPr>
      </w:pPr>
      <w:r>
        <w:rPr>
          <w:color w:val="000000"/>
          <w:lang w:val="es-AR" w:eastAsia="es-AR" w:bidi="es-AR"/>
        </w:rPr>
        <w:t xml:space="preserve">Remarca que el perito informático logró secuestrar más de 100 planillas Excel de la computadora personal del demandado donde obran detalles exactos de los viajes realizados con los dos camiones, puntualizando los montos pactados como precio a pagar por el demandado a la actora por cada uno de ellos. Agregó además el perito el detalle de los créditos generados y las sumas entregadas mensualmente por el demandado a cuenta de dichos créditos, también montos de IVA que la actora abonó en relación a las facturas "A" que el demandado exigió en cada uno de los meses de vinculación, reflejando el monto exacto de la deuda que aquél mantenía a la fecha de la desvinculación.</w:t>
      </w:r>
    </w:p>
    <w:p>
      <w:pPr>
        <w:pStyle w:val="[Normal]"/>
        <w:spacing w:line="360" w:lineRule="auto"/>
        <w:ind w:firstLine="1134"/>
        <w:jc w:val="both"/>
        <w:rPr>
          <w:color w:val="000000"/>
          <w:lang w:val="es-AR" w:eastAsia="es-AR" w:bidi="es-AR"/>
        </w:rPr>
      </w:pPr>
      <w:r>
        <w:rPr>
          <w:color w:val="000000"/>
          <w:lang w:val="es-AR" w:eastAsia="es-AR" w:bidi="es-AR"/>
        </w:rPr>
        <w:t xml:space="preserve">Así también pone de manifiesto la manipulación de carácter temerario y malicioso del demandado, al negar al perito contador la existencia de documentación relacionada a la rendición de cuentas entre las partes, que luego se acreditaría con el secuestro que el perito informático realizó de su computadora personal.</w:t>
      </w:r>
    </w:p>
    <w:p>
      <w:pPr>
        <w:pStyle w:val="[Normal]"/>
        <w:spacing w:line="360" w:lineRule="auto"/>
        <w:ind w:firstLine="1134"/>
        <w:jc w:val="both"/>
        <w:rPr>
          <w:color w:val="000000"/>
          <w:lang w:val="es-AR" w:eastAsia="es-AR" w:bidi="es-AR"/>
        </w:rPr>
      </w:pPr>
      <w:r>
        <w:rPr>
          <w:color w:val="000000"/>
          <w:lang w:val="es-AR" w:eastAsia="es-AR" w:bidi="es-AR"/>
        </w:rPr>
        <w:t xml:space="preserve">Manifiesta que ambas partes reconocen que desde el año 2014 dos camiones vinculados a la actora prestarían servicio a favor del demandado simultáneamente como se expresó en el libelo de inicio, y no como concluye el sentenciante, que fue en enero de 2016. </w:t>
      </w:r>
    </w:p>
    <w:p>
      <w:pPr>
        <w:pStyle w:val="[Normal]"/>
        <w:spacing w:line="360" w:lineRule="auto"/>
        <w:ind w:firstLine="1134"/>
        <w:jc w:val="both"/>
        <w:rPr>
          <w:color w:val="000000"/>
          <w:lang w:val="es-AR" w:eastAsia="es-AR" w:bidi="es-AR"/>
        </w:rPr>
      </w:pPr>
      <w:r>
        <w:rPr>
          <w:color w:val="000000"/>
          <w:lang w:val="es-AR" w:eastAsia="es-AR" w:bidi="es-AR"/>
        </w:rPr>
        <w:t xml:space="preserve">Cita jurisprudencia en apoyo de su postura.</w:t>
      </w:r>
    </w:p>
    <w:p>
      <w:pPr>
        <w:pStyle w:val="[Normal]"/>
        <w:spacing w:line="360" w:lineRule="auto"/>
        <w:ind w:firstLine="1134"/>
        <w:jc w:val="both"/>
        <w:rPr>
          <w:color w:val="000000"/>
          <w:lang w:val="es-AR" w:eastAsia="es-AR" w:bidi="es-AR"/>
        </w:rPr>
      </w:pPr>
      <w:r>
        <w:rPr>
          <w:color w:val="000000"/>
          <w:lang w:val="es-AR" w:eastAsia="es-AR" w:bidi="es-AR"/>
        </w:rPr>
        <w:t xml:space="preserve">Sostiene que el vicio de incongruencia quedó también evidenciado cuando el a quo en sentencia incorpora un supuesto derecho del demandado de retener para si el 10% de la deuda mantenida con la actora por trabajos de intermediación, resultando una muestra más de la nula correspondencia entre las postulaciones hechas por las partes en la litis y el fallo atacado. Nunca el demandado esgrimió el derecho a retener el 10% sobre el monto total de los viajes pagados a esta parte desde el inicio de su vinculación, pues implicaría reconocer la deuda que mantiene así como la suma total de los viajes realizados. </w:t>
      </w:r>
    </w:p>
    <w:p>
      <w:pPr>
        <w:pStyle w:val="[Normal]"/>
        <w:spacing w:line="360" w:lineRule="auto"/>
        <w:ind w:firstLine="1134"/>
        <w:jc w:val="both"/>
        <w:rPr>
          <w:color w:val="000000"/>
          <w:lang w:val="es-AR" w:eastAsia="es-AR" w:bidi="es-AR"/>
        </w:rPr>
      </w:pPr>
      <w:r>
        <w:rPr>
          <w:color w:val="000000"/>
          <w:lang w:val="es-AR" w:eastAsia="es-AR" w:bidi="es-AR"/>
        </w:rPr>
        <w:t xml:space="preserve">Solicita la declaración de nulidad de la sentencia, o en su defecto, modifícar la misma, con costas a la demandada.</w:t>
      </w:r>
    </w:p>
    <w:p>
      <w:pPr>
        <w:pStyle w:val="[Normal]"/>
        <w:spacing w:line="360" w:lineRule="auto"/>
        <w:ind w:firstLine="1134"/>
        <w:jc w:val="both"/>
        <w:rPr>
          <w:color w:val="000000"/>
          <w:lang w:val="es-AR" w:eastAsia="es-AR" w:bidi="es-AR"/>
        </w:rPr>
      </w:pPr>
      <w:r>
        <w:rPr>
          <w:color w:val="000000"/>
          <w:lang w:val="es-AR" w:eastAsia="es-AR" w:bidi="es-AR"/>
        </w:rPr>
        <w:t xml:space="preserve">Conferido el traslado pertinente, mediante presentación electrónica de fecha 14/05/2020 la demandada solicita se confirme la sentencia apelada en todas sus partes y se rechacen los agravios vertidos por la contraria en todos sus términos, con expresa imposición de costos y costas a cargo de la actora.</w:t>
      </w:r>
    </w:p>
    <w:p>
      <w:pPr>
        <w:pStyle w:val="[Normal]"/>
        <w:spacing w:line="360" w:lineRule="auto"/>
        <w:ind w:firstLine="1134"/>
        <w:jc w:val="both"/>
        <w:rPr>
          <w:color w:val="000000"/>
          <w:lang w:val="es-AR" w:eastAsia="es-AR" w:bidi="es-AR"/>
        </w:rPr>
      </w:pPr>
      <w:r>
        <w:rPr>
          <w:color w:val="000000"/>
          <w:lang w:val="es-AR" w:eastAsia="es-AR" w:bidi="es-AR"/>
        </w:rPr>
        <w:t xml:space="preserve">El 2 de Julio de 2020 se dictó el llamamiento de autos, que habiendo adquirido firmeza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Entrando al estudio de la cuestión traída en apelación ante esta Alzada, considero necesario transcribir parte del análisis efectuado por el sentenciante primero, y en lo que a la presente resolución interesa, para circunscribir el desarrollo del recurso. </w:t>
      </w:r>
    </w:p>
    <w:p>
      <w:pPr>
        <w:pStyle w:val="[Normal]"/>
        <w:spacing w:line="360" w:lineRule="auto"/>
        <w:ind w:firstLine="1134"/>
        <w:jc w:val="both"/>
        <w:rPr>
          <w:color w:val="000000"/>
          <w:lang w:val="es-AR" w:eastAsia="es-AR" w:bidi="es-AR"/>
        </w:rPr>
      </w:pPr>
      <w:r>
        <w:rPr>
          <w:color w:val="000000"/>
          <w:lang w:val="es-AR" w:eastAsia="es-AR" w:bidi="es-AR"/>
        </w:rPr>
        <w:t xml:space="preserve">El juez primero, al entrar al análisis fáctico del piso sobre el cual se circunscribió el reclamo actoral, señaló concretamente que: "</w:t>
      </w:r>
      <w:r>
        <w:rPr>
          <w:i/>
          <w:color w:val="000000"/>
          <w:lang w:val="es-AR" w:eastAsia="es-AR" w:bidi="es-AR"/>
        </w:rPr>
        <w:t xml:space="preserve">el perito contador en fecha 17.10.2018 al responder el punto de pericia de la actora "...Según la documentación peritada, a qué monto asciende a la fecha el saldo deudor que el demandado mantiene con la actora por los viajes realizados durante la vigencia de la relación comercial" contesta: Este perito informa que de la documentación requerida y examinada, no surgen elementos para responder lo solicitado en el presente punto de pericia. Reitero, no fue posible al experto, determinar la existencia de un saldo deudor a favor de la reclamante, y ello no fue discutido por la actora.-   Hay otro aspecto de la pericia contable que es ilustrativo. Al punto de pericia: "...Detalle las acreencias que declaró la contribuyente en las posiciones de ganancias de los años 2016 y 2017, detallando la persona que le debe al contribuyente y el monto que le debe en cada período..." la respuesta fue "... Este perito informa que según surge el análisis de las declaraciones juradas de ganancias de los períodos fiscales 2016 y 2017, el monto del patrimonio ( bienes en el país ) no se encuentra discriminado, siendo de $ 30.000.- y $ 5.000.- respectivamente en cada uno de los períodos." </w:t>
      </w:r>
      <w:r>
        <w:rPr>
          <w:i/>
          <w:color w:val="000000"/>
          <w:u w:val="single"/>
          <w:lang w:val="es-AR" w:eastAsia="es-AR" w:bidi="es-AR"/>
        </w:rPr>
        <w:t xml:space="preserve">Ninguna de esas sumas se asemeja al saldo que pretende percibir la actora. La actora no ha denunciado como crédito la existencia del saldo que reclama en autos</w:t>
      </w:r>
      <w:r>
        <w:rPr>
          <w:i/>
          <w:color w:val="000000"/>
          <w:lang w:val="es-AR" w:eastAsia="es-AR" w:bidi="es-AR"/>
        </w:rPr>
        <w:t xml:space="preserve">.-    Recuerdo que la</w:t>
      </w:r>
      <w:r>
        <w:rPr>
          <w:i/>
          <w:color w:val="000000"/>
          <w:u w:val="single"/>
          <w:lang w:val="es-AR" w:eastAsia="es-AR" w:bidi="es-AR"/>
        </w:rPr>
        <w:t xml:space="preserve"> Ley 20628 de impuesto a las ganancias considera a los ingresos y gastos como pertenecientes al año fiscal en el que deben tener incidencia económica, de manera que no interesa, que se haya producido el cobro o el pago en el período que se liquida. Se considera renta devengada a toda aquella sobre la cual se ha adquirido el derecho de percibirla, por haberse producido los hechos necesarios para que se generen, aunque no sea exigible. Y en el caso concreto de las rentas de la tercera categoría, ( Beneficios de las Empresas ), como la actora se aplica el criterio de lo devengado, por tanto la acreencia contra el accionado debió declararse y contabilizarse</w:t>
      </w:r>
      <w:r>
        <w:rPr>
          <w:color w:val="000000"/>
          <w:lang w:val="es-AR" w:eastAsia="es-AR" w:bidi="es-AR"/>
        </w:rPr>
        <w:t xml:space="preserve">" (el subrayado me pertenece).-</w:t>
      </w:r>
    </w:p>
    <w:p>
      <w:pPr>
        <w:pStyle w:val="[Normal]"/>
        <w:spacing w:line="360" w:lineRule="auto"/>
        <w:ind w:firstLine="1134"/>
        <w:jc w:val="both"/>
        <w:rPr>
          <w:color w:val="000000"/>
          <w:lang w:val="es-AR" w:eastAsia="es-AR" w:bidi="es-AR"/>
        </w:rPr>
      </w:pPr>
      <w:r>
        <w:rPr>
          <w:color w:val="000000"/>
          <w:lang w:val="es-AR" w:eastAsia="es-AR" w:bidi="es-AR"/>
        </w:rPr>
        <w:t xml:space="preserve">Y en base a ello, el a quo partió para la resolución del caso, de la existencia de "...un pleito entre dos empresarios, obligados a llevar contabilidad ( art. 320 del C.C.C.), que según la experticia practicada en autos han presentado registros en forma. Conforme los términos del art. 330 del Código Civil y Comercial de la Nación, "la contabilidad prueba en contra de quien la lleva". Y de los registros de la actora no fue posible al Experto determinar un saldo deudor a su favor en autos; y tampoco declaró en sus registros, la existencia de un crédito o cuenta a cobrar de importe similar a la que pretende en autos." (contundente a mi entender).-</w:t>
      </w:r>
    </w:p>
    <w:p>
      <w:pPr>
        <w:pStyle w:val="[Normal]"/>
        <w:spacing w:line="360" w:lineRule="auto"/>
        <w:ind w:firstLine="1134"/>
        <w:jc w:val="both"/>
        <w:rPr>
          <w:color w:val="000000"/>
          <w:lang w:val="es-AR" w:eastAsia="es-AR" w:bidi="es-AR"/>
        </w:rPr>
      </w:pPr>
      <w:r>
        <w:rPr>
          <w:color w:val="000000"/>
          <w:lang w:val="es-AR" w:eastAsia="es-AR" w:bidi="es-AR"/>
        </w:rPr>
        <w:t xml:space="preserve">Y sobre el fundamento por el cual se rechazara la demanda, la apelante nada logra revertir, sino que pretende discurrir sobre el carril de cuestiones que no han sido propuestas al juez de la anterior instancia, tales como que el tema a resolver "...tenía como fundamento una relación contractual no escrita ... una deuda no documentada...", cuando al demandar la aquí recurrente sostuvo que el conflicto por el cual llegaron a presentar la demanda fue como consecuencia de "...un contrato que vinculare a las partes de esta acción, en virtud del cual el demandado tercerizaba a quien suscribe los viajes de transporte de hacienda" (ver fs. 129 vta.).-</w:t>
      </w:r>
    </w:p>
    <w:p>
      <w:pPr>
        <w:pStyle w:val="[Normal]"/>
        <w:spacing w:line="360" w:lineRule="auto"/>
        <w:ind w:firstLine="1134"/>
        <w:jc w:val="both"/>
        <w:rPr>
          <w:color w:val="000000"/>
          <w:lang w:val="es-AR" w:eastAsia="es-AR" w:bidi="es-AR"/>
        </w:rPr>
      </w:pPr>
      <w:r>
        <w:rPr>
          <w:color w:val="000000"/>
          <w:lang w:val="es-AR" w:eastAsia="es-AR" w:bidi="es-AR"/>
        </w:rPr>
        <w:t xml:space="preserve">El dictamen pericial contable, cabe aclarar  que fuera ofrecido por ambas partes, como bien lo expuso el Sr. Juez en su sentencia y que mas arriba transcribiera, no demostró existencia de constancia registral de la deuda reclamada, como así tampoco denuncia de la misma como crédito ante los organismos fiscales.-</w:t>
      </w:r>
    </w:p>
    <w:p>
      <w:pPr>
        <w:pStyle w:val="[Normal]"/>
        <w:spacing w:line="360" w:lineRule="auto"/>
        <w:ind w:firstLine="1134"/>
        <w:jc w:val="both"/>
        <w:rPr>
          <w:color w:val="000000"/>
          <w:lang w:val="es-AR" w:eastAsia="es-AR" w:bidi="es-AR"/>
        </w:rPr>
      </w:pPr>
      <w:r>
        <w:rPr>
          <w:color w:val="000000"/>
          <w:lang w:val="es-AR" w:eastAsia="es-AR" w:bidi="es-AR"/>
        </w:rPr>
        <w:t xml:space="preserve">Tal dictamen no fue oportunamente cuestionado por la aquí apelante, es más ante el pedido de revocatoria sobre la intimación formulada ante requerimiento del perito, nada contestó al respecto, razón por la cual en primera instancia se hizo lugar al planteo del demandado y se dejo sin efecto tal intimación efectuada a fs. 232, quedando firme la información pericial oportunamente brindada por el experto de la Oficina Pericial Departamental y en base a la documentación por él constatada.-</w:t>
      </w:r>
    </w:p>
    <w:p>
      <w:pPr>
        <w:pStyle w:val="[Normal]"/>
        <w:spacing w:line="360" w:lineRule="auto"/>
        <w:ind w:firstLine="1134"/>
        <w:jc w:val="both"/>
        <w:rPr>
          <w:color w:val="000000"/>
          <w:lang w:val="es-AR" w:eastAsia="es-AR" w:bidi="es-AR"/>
        </w:rPr>
      </w:pPr>
      <w:r>
        <w:rPr>
          <w:color w:val="000000"/>
          <w:lang w:val="es-AR" w:eastAsia="es-AR" w:bidi="es-AR"/>
        </w:rPr>
        <w:t xml:space="preserve">Es por ello que la omisión que refiere la apelante en el punto "4" de su expresión de agravios, no es correcta, en tanto que su parte ha sido la que en ningún momento cuestionó que el demandado se opusiera a la petición que al respecto solicitara el perito contador, como surge de la actitud procesal descripta en el párrafo precedente.-</w:t>
      </w:r>
    </w:p>
    <w:p>
      <w:pPr>
        <w:pStyle w:val="[Normal]"/>
        <w:spacing w:line="360" w:lineRule="auto"/>
        <w:ind w:firstLine="1134"/>
        <w:jc w:val="both"/>
        <w:rPr>
          <w:color w:val="000000"/>
          <w:lang w:val="es-AR" w:eastAsia="es-AR" w:bidi="es-AR"/>
        </w:rPr>
      </w:pPr>
      <w:r>
        <w:rPr>
          <w:color w:val="000000"/>
          <w:lang w:val="es-AR" w:eastAsia="es-AR" w:bidi="es-AR"/>
        </w:rPr>
        <w:t xml:space="preserve">Y en lo que refiere a las declaraciones testimoniales  sobre la que la apelante refiere calificada, esto es la del Contador Cardinale, el a quo la consideró, pero para destacar su "...contradicción inadmisible, por cuanto mientras determinó un saldo (a favor de su clienta), no lo plasmó en su contabilidad o registros contables ...", por lo cual no existe violación alguna en la apreciación de la prueba.-</w:t>
      </w:r>
    </w:p>
    <w:p>
      <w:pPr>
        <w:pStyle w:val="[Normal]"/>
        <w:spacing w:line="360" w:lineRule="auto"/>
        <w:ind w:firstLine="1134"/>
        <w:jc w:val="both"/>
        <w:rPr>
          <w:color w:val="000000"/>
          <w:lang w:val="es-AR" w:eastAsia="es-AR" w:bidi="es-AR"/>
        </w:rPr>
      </w:pPr>
      <w:r>
        <w:rPr>
          <w:color w:val="000000"/>
          <w:lang w:val="es-AR" w:eastAsia="es-AR" w:bidi="es-AR"/>
        </w:rPr>
        <w:t xml:space="preserve">De manera que producida la prueba ofrecida por las partes, incluida la informática que ahora refiere no tuvo en cuenta el sentenciante, la actora en reiteradas oportunidades solicitó la clausura del período probatorio, solicitando el pase de los autos para dictar sentencia, con lo cual ha precluído la cuestión relativa a ello (ver escritos electrónicos de 7, 14 y 28 de noviembre de 2019).-</w:t>
      </w:r>
    </w:p>
    <w:p>
      <w:pPr>
        <w:pStyle w:val="[Normal]"/>
        <w:spacing w:line="360" w:lineRule="auto"/>
        <w:ind w:firstLine="1134"/>
        <w:jc w:val="both"/>
        <w:rPr>
          <w:color w:val="000000"/>
          <w:lang w:val="es-AR" w:eastAsia="es-AR" w:bidi="es-AR"/>
        </w:rPr>
      </w:pPr>
      <w:r>
        <w:rPr>
          <w:color w:val="000000"/>
          <w:lang w:val="es-AR" w:eastAsia="es-AR" w:bidi="es-AR"/>
        </w:rPr>
        <w:t xml:space="preserve">Ello así en tanto que el Sr. juez a continuación de declarar clausurado el período de prueba, pasó el expediente a despacho para el correspondiente dictado de sentencia, providencia que la quejosa consintió al no haber efectuado cuestionamiento alguno a su respecto, por lo que ha devenido en cuestión precluida para ella la posibilidad de agraviarse respecto de los vicios que pudieren haber ocurrido durante el desarrollo del proceso previo al dictado de la sentencia, quedando vedado al Tribunal expedirse cuando la preclusión opera como un impedimento pues la facultad no usada, inexorablemente se extingue. (Cám. Ap. Perg. causa Nº 1502 RSD 38/13). </w:t>
      </w:r>
      <w:r>
        <w:rPr>
          <w:i/>
          <w:color w:val="000000"/>
          <w:lang w:val="es-AR" w:eastAsia="es-AR" w:bidi="es-AR"/>
        </w:rPr>
        <w:t xml:space="preserve">"No pueden ser atendidos los agravios dirigidos a procedimientos que quedaron cerrados por la</w:t>
      </w:r>
      <w:r>
        <w:rPr>
          <w:b/>
          <w:i/>
          <w:color w:val="000000"/>
          <w:lang w:val="es-AR" w:eastAsia="es-AR" w:bidi="es-AR"/>
        </w:rPr>
        <w:t xml:space="preserve"> </w:t>
      </w:r>
      <w:r>
        <w:rPr>
          <w:i/>
          <w:color w:val="000000"/>
          <w:lang w:val="es-AR" w:eastAsia="es-AR" w:bidi="es-AR"/>
        </w:rPr>
        <w:t xml:space="preserve">preclusión."</w:t>
      </w:r>
      <w:r>
        <w:rPr>
          <w:color w:val="000000"/>
          <w:lang w:val="es-AR" w:eastAsia="es-AR" w:bidi="es-AR"/>
        </w:rPr>
        <w:t xml:space="preserve"> (SCBA, C 100180 del 2-3-2011).-</w:t>
      </w:r>
    </w:p>
    <w:p>
      <w:pPr>
        <w:pStyle w:val="[Normal]"/>
        <w:spacing w:line="360" w:lineRule="auto"/>
        <w:ind w:firstLine="1134"/>
        <w:jc w:val="both"/>
        <w:rPr>
          <w:color w:val="000000"/>
          <w:lang w:val="es-AR" w:eastAsia="es-AR" w:bidi="es-AR"/>
        </w:rPr>
      </w:pPr>
      <w:r>
        <w:rPr>
          <w:color w:val="000000"/>
          <w:lang w:val="es-AR" w:eastAsia="es-AR" w:bidi="es-AR"/>
        </w:rPr>
        <w:t xml:space="preserve">En tal sentido se ha dicho que "...el llamamiento de autos para sentencia cierra en líneas generales la posibilidad de completar actuaciones procesalmente preteridas, no pudiendo por lo demás este Tribunal de Alzada atender planteos no propuestos al magistrado de la anterior instancia, pues esta segunda no constituye una reedición de la anterior sino un marco de análisis de las decisiones allí tomadas en orden a los agravios presentados (art. 272 y concds del C.P.C.C.)" (CC0001 QL 12661 RSD-38-10 S 24-6-2010, Juez BUSTEROS (SD) JUBA B2902733).-</w:t>
      </w:r>
    </w:p>
    <w:p>
      <w:pPr>
        <w:pStyle w:val="[Normal]"/>
        <w:spacing w:line="360" w:lineRule="auto"/>
        <w:ind w:firstLine="1134"/>
        <w:jc w:val="both"/>
        <w:rPr>
          <w:color w:val="000000"/>
          <w:lang w:val="es-AR" w:eastAsia="es-AR" w:bidi="es-AR"/>
        </w:rPr>
      </w:pPr>
      <w:r>
        <w:rPr>
          <w:color w:val="000000"/>
          <w:lang w:val="es-AR" w:eastAsia="es-AR" w:bidi="es-AR"/>
        </w:rPr>
        <w:t xml:space="preserve">Es que debe tenerse presente que en el proceso civil y comercial rige el principio de preclusión por el cual una facultad que no es ejercida en tiempo y forma se pierde, pues la misma opera como un impedimento o una imposibilidad: la facultad procesal no utilizada, se extingue, impidiendo que se retroceda a etapas procesales agotadas. Al respecto se ha dicho que </w:t>
      </w:r>
      <w:r>
        <w:rPr>
          <w:i/>
          <w:color w:val="000000"/>
          <w:lang w:val="es-AR" w:eastAsia="es-AR" w:bidi="es-AR"/>
        </w:rPr>
        <w:t xml:space="preserve">"es sabido que no ejercida una facultad en tiempo y forma, la  misma se pierde</w:t>
      </w:r>
      <w:r>
        <w:rPr>
          <w:b/>
          <w:i/>
          <w:color w:val="000000"/>
          <w:lang w:val="es-AR" w:eastAsia="es-AR" w:bidi="es-AR"/>
        </w:rPr>
        <w:t xml:space="preserve"> </w:t>
      </w:r>
      <w:r>
        <w:rPr>
          <w:i/>
          <w:color w:val="000000"/>
          <w:lang w:val="es-AR" w:eastAsia="es-AR" w:bidi="es-AR"/>
        </w:rPr>
        <w:t xml:space="preserve">por cuanto la preclusión opera como un impedimento o una imposibilidad: la facultad procesal no utilizada, se extingue"</w:t>
      </w:r>
      <w:r>
        <w:rPr>
          <w:color w:val="000000"/>
          <w:lang w:val="es-AR" w:eastAsia="es-AR" w:bidi="es-AR"/>
        </w:rPr>
        <w:t xml:space="preserve">.(confr. SCBA, Ac.75777 del 13/6/01 ent. ots.) y "...si una cuestión ha quedado definitivamente resuelta en sentencia firme, no puede ser nuevamente examinada y menos decidida en sentido distinto".(confr. SCBA, Ac.92718 del 26/4/06 ent. ots.)." (CAP Causa 191/09, RSD Nº 81/09). De ese principio se deriva el de eventualidad, que importa la necesidad de aprovechar cada ocasión procesal íntegramente empleando en acumulación eventual todos los medios de ataque y defensa de que se disponga -es decir en forma conjunta- para que surtan sus efectos </w:t>
      </w:r>
      <w:r>
        <w:rPr>
          <w:i/>
          <w:color w:val="000000"/>
          <w:lang w:val="es-AR" w:eastAsia="es-AR" w:bidi="es-AR"/>
        </w:rPr>
        <w:t xml:space="preserve">ad omnem eventum</w:t>
      </w:r>
      <w:r>
        <w:rPr>
          <w:color w:val="000000"/>
          <w:lang w:val="es-AR" w:eastAsia="es-AR" w:bidi="es-AR"/>
        </w:rPr>
        <w:t xml:space="preserve">, es decir, estar prevenido por si uno o varios de ellos no los producen (Morello.., ob.cit., Tº I, Bs.As. 1982, pág. 621 y ss.).-</w:t>
      </w:r>
    </w:p>
    <w:p>
      <w:pPr>
        <w:pStyle w:val="[Normal]"/>
        <w:spacing w:line="360" w:lineRule="auto"/>
        <w:ind w:firstLine="1134"/>
        <w:jc w:val="both"/>
        <w:rPr>
          <w:color w:val="000000"/>
          <w:lang w:val="es-AR" w:eastAsia="es-AR" w:bidi="es-AR"/>
        </w:rPr>
      </w:pPr>
      <w:r>
        <w:rPr>
          <w:color w:val="000000"/>
          <w:lang w:val="es-AR" w:eastAsia="es-AR" w:bidi="es-AR"/>
        </w:rPr>
        <w:t xml:space="preserve">En relación a las pruebas en que el juez ha apoyado su resolución desestimatoria de la demanda, cabe referir que en tal tarea el magistrado tiene amplias facultades.-</w:t>
      </w:r>
    </w:p>
    <w:p>
      <w:pPr>
        <w:pStyle w:val="[Normal]"/>
        <w:spacing w:line="360" w:lineRule="auto"/>
        <w:ind w:firstLine="1134"/>
        <w:jc w:val="both"/>
        <w:rPr>
          <w:color w:val="000000"/>
          <w:lang w:val="es-AR" w:eastAsia="es-AR" w:bidi="es-AR"/>
        </w:rPr>
      </w:pPr>
      <w:r>
        <w:rPr>
          <w:color w:val="000000"/>
          <w:lang w:val="es-AR" w:eastAsia="es-AR" w:bidi="es-AR"/>
        </w:rPr>
        <w:t xml:space="preserve">Por ello, el agravio acerca de la arbitrariedad en la interpretación de la prueba y el pedido de nulidad respectivo, no puede ser de recibo, en tanto que el consentimiento de tal providencia de autos para sentencia, una vez firme y consentida, veda la posibilidad de cuestionar supuestos vicios procedimentales previos, quedando así convalidados (art.  482 C.P.C.).-</w:t>
      </w:r>
    </w:p>
    <w:p>
      <w:pPr>
        <w:pStyle w:val="[Normal]"/>
        <w:spacing w:line="360" w:lineRule="auto"/>
        <w:ind w:firstLine="1134"/>
        <w:jc w:val="both"/>
        <w:rPr>
          <w:color w:val="000000"/>
          <w:lang w:val="es-AR" w:eastAsia="es-AR" w:bidi="es-AR"/>
        </w:rPr>
      </w:pPr>
      <w:r>
        <w:rPr>
          <w:color w:val="000000"/>
          <w:lang w:val="es-AR" w:eastAsia="es-AR" w:bidi="es-AR"/>
        </w:rPr>
        <w:t xml:space="preserve">También entiendo que desacierta la apelante, al pretender quedar fuera de las exigencias de la legislación civil y comercial -en relación a la prueba que vincula a las partes en su calidad de empresarios-, en tanto que su actividad llevada a cabo con dos camiones para realizar servicios de transporte, con la contratación profesional para su asistencia de un contador público (el Sr. Cingolani), con la colaboración para el desarrollo de la actividad de una empleada en relación de dependencia, Sra. Susana Perrota -quien depusiera como testigo según acta de fecha 28/3/19-, llevan a la convicción de que la actora entra perfectamente en el carácter de empresaria.-</w:t>
      </w:r>
    </w:p>
    <w:p>
      <w:pPr>
        <w:pStyle w:val="[Normal]"/>
        <w:spacing w:line="360" w:lineRule="auto"/>
        <w:ind w:firstLine="1134"/>
        <w:jc w:val="both"/>
        <w:rPr>
          <w:color w:val="000000"/>
          <w:lang w:val="es-AR" w:eastAsia="es-AR" w:bidi="es-AR"/>
        </w:rPr>
      </w:pPr>
      <w:r>
        <w:rPr>
          <w:color w:val="000000"/>
          <w:lang w:val="es-AR" w:eastAsia="es-AR" w:bidi="es-AR"/>
        </w:rPr>
        <w:t xml:space="preserve">Es que a partir de la sanción del Código Civil y Comercial, ya no se tiene como centro de la materia comercial al tradicional "comerciante", sino que el sujeto se llama ahora "empresario", de modo que el centro del Derecho Comercial es la "empresa", la cual en una simple descripción se puede definir como  actividad organizada de los factores de producción para producir o intercambiar bienes y servicios destinados al mercado asumiendo los riesgos propios de éste (arg. Art. 1 Ley de General de Sociedades).</w:t>
      </w:r>
    </w:p>
    <w:p>
      <w:pPr>
        <w:pStyle w:val="[Normal]"/>
        <w:spacing w:line="360" w:lineRule="auto"/>
        <w:ind w:firstLine="1134"/>
        <w:jc w:val="both"/>
        <w:rPr>
          <w:color w:val="000000"/>
          <w:lang w:val="es-AR" w:eastAsia="es-AR" w:bidi="es-AR"/>
        </w:rPr>
      </w:pPr>
      <w:r>
        <w:rPr>
          <w:color w:val="000000"/>
          <w:lang w:val="es-AR" w:eastAsia="es-AR" w:bidi="es-AR"/>
        </w:rPr>
        <w:t xml:space="preserve">La empresa como tal es una institución de naturaleza económica; como resultado de la actividad del empresario, y que tiene como características  fundamentales la organización de tal actividad, de tal modo que integran la empresa los bienes materiales, los inmateriales, las relaciones laborales, la clientela, el personal, la participación en determinados mercados, la funciones de producción y comercialización, las expectativas de ganancias y beneficios, etc. De manera que la afirmación que ahora pretende sostener de que ella no prestaba los servicios de transporte como una real empresa, no puede ser recibida.-</w:t>
      </w:r>
    </w:p>
    <w:p>
      <w:pPr>
        <w:pStyle w:val="[Normal]"/>
        <w:spacing w:line="360" w:lineRule="auto"/>
        <w:ind w:firstLine="1134"/>
        <w:jc w:val="both"/>
        <w:rPr>
          <w:color w:val="000000"/>
          <w:lang w:val="es-AR" w:eastAsia="es-AR" w:bidi="es-AR"/>
        </w:rPr>
      </w:pPr>
      <w:r>
        <w:rPr>
          <w:color w:val="000000"/>
          <w:lang w:val="es-AR" w:eastAsia="es-AR" w:bidi="es-AR"/>
        </w:rPr>
        <w:t xml:space="preserve">"</w:t>
      </w:r>
      <w:r>
        <w:rPr>
          <w:i/>
          <w:color w:val="000000"/>
          <w:lang w:val="es-AR" w:eastAsia="es-AR" w:bidi="es-AR"/>
        </w:rPr>
        <w:t xml:space="preserve">En lo que respecta a los sujetos obligados a llevar contabilidad en el marco del Código Civil y Comercial (art. 320 del CCyC), comprende —reiteramos— a las personas jurídicas privadas (art. 148 del CCyC); entes contables determinados sin personalidad jurídica (agrupaciones de colaboración, uniones transitorias y consorcios de cooperación) (arts. 1442/1478 del CCyC), personas humanas que desarrollen ciertas actividades económicas organizadas (englobando a los comerciantes y empresarios como titulares de una empresa o establecimiento comercial, industrial o de servicios), y los agentes auxiliares del comercio. Están exentas —como principio general— bajo el ámbito de aplicación del precitado art. 320 las personas físicas que desarrollen profesiones liberales o actividades agropecuarias y conexas no ejecutadas ni organizadas en forma de empresa, y también podrán ser eximidas de llevar contabilidad las actividades que por el volumen de su giro resulten inconvenientes, según determine cada jurisdicción local. La contabilidad llevada en legal forma debe ser admitida en juicio como prueba, como principio general. Sus registros prueban contra quien la lleva, sin admitir prueba en contrario (art. 320 del CCyC). La contabilidad regular prueba a favor de quien la lleva, cuando en un litigio el otro sujeto no presentare registros contrarios (art. 320 del CCyC)</w:t>
      </w:r>
      <w:r>
        <w:rPr>
          <w:color w:val="000000"/>
          <w:lang w:val="es-AR" w:eastAsia="es-AR" w:bidi="es-AR"/>
        </w:rPr>
        <w:t xml:space="preserve">. (La importancia de la contabilidad legal como medio probatorio en la nueva codificación unificada - Papa, Rodolfo G. Publicado en: RCCyC 2016 (abril) , 85 - Fallo Comentado: Cámara Nacional de Apelaciones en lo Comercial, sala D ~ 2015-09-22 ~ Souto, Roberto c. Muñoz de Toro Patagonia S.A. s/ ordinario - Cita Online: AR/DOC/579/2016).-</w:t>
      </w:r>
    </w:p>
    <w:p>
      <w:pPr>
        <w:pStyle w:val="[Normal]"/>
        <w:spacing w:line="360" w:lineRule="auto"/>
        <w:ind w:firstLine="1134"/>
        <w:jc w:val="both"/>
        <w:rPr>
          <w:color w:val="000000"/>
          <w:lang w:val="es-AR" w:eastAsia="es-AR" w:bidi="es-AR"/>
        </w:rPr>
      </w:pPr>
      <w:r>
        <w:rPr>
          <w:color w:val="000000"/>
          <w:lang w:val="es-AR" w:eastAsia="es-AR" w:bidi="es-AR"/>
        </w:rPr>
        <w:t xml:space="preserve">En base a ello, no puede ahora pretender que su omisión de llevar la contabilidad en legal forma y las correspondientes declaraciones de ganancias ante la autoridad impositiva, pueda justificarse con la sola mención de que resulta una mera "omisión" de su parte, pudiendo además haber tenido las correspondientes órdenes de remito o alguna documentación que respalde de alguna manera las tareas de transporte que generaran el saldo deudor que reclama en autos.-</w:t>
      </w:r>
    </w:p>
    <w:p>
      <w:pPr>
        <w:pStyle w:val="[Normal]"/>
        <w:spacing w:line="360" w:lineRule="auto"/>
        <w:ind w:firstLine="1134"/>
        <w:jc w:val="both"/>
        <w:rPr>
          <w:rStyle w:val="EM"/>
          <w:b/>
          <w:lang w:val="es-AR" w:eastAsia="es-AR" w:bidi="es-AR"/>
        </w:rPr>
      </w:pPr>
      <w:r>
        <w:rPr>
          <w:color w:val="000000"/>
          <w:lang w:val="es-AR" w:eastAsia="es-AR" w:bidi="es-AR"/>
        </w:rPr>
        <w:t xml:space="preserve">Sin perjuicio de que lo señalado hasta aquí, a mi entender sella la suerte del recurso, he ingresado al link que informara el perito en informática, Sr. Ricardo Nelson Canal  y al que refiere la apelante, esto es "</w:t>
      </w:r>
      <w:r>
        <w:rPr>
          <w:rStyle w:val="EM"/>
          <w:b/>
          <w:lang w:val="es-AR" w:eastAsia="es-AR" w:bidi="es-AR"/>
        </w:rPr>
        <w:t xml:space="preserve">https://drive.google.com/drive/folders/1BfMz-tDbtSM1-HTFr_8VmuOi7tTITFS5?usp=sharing", </w:t>
      </w:r>
      <w:r>
        <w:rPr>
          <w:rStyle w:val="EM"/>
          <w:i w:val="off"/>
          <w:lang w:val="es-AR" w:eastAsia="es-AR" w:bidi="es-AR"/>
        </w:rPr>
        <w:t xml:space="preserve">nada nuevo agrega a la cuestión en tanto lo que se puede allí observar son copias de hojas con datos y planillas, que en nada pueden relacionar con la cuestión debatida en autos, ya que son insuficientes en cuanto a la coincidencia con la relación que la parte actora pretendió probar y no logró.</w:t>
      </w:r>
      <w:r>
        <w:rPr>
          <w:rStyle w:val="EM"/>
          <w:b/>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Es que, en lo que respecta a los archivos excel que refiere la apelante, para que tengan el valor registral respaldatorio de una documentación contable, debería haberse requerido a la parte contratista de los viajes, las correspondientes facturas de todos y cada uno de ellos. De esta manera se le daría a dichos archivos, el correspondiente respaldo documental.-</w:t>
      </w:r>
    </w:p>
    <w:p>
      <w:pPr>
        <w:pStyle w:val="[Normal]"/>
        <w:spacing w:line="360" w:lineRule="auto"/>
        <w:ind w:firstLine="1134"/>
        <w:jc w:val="both"/>
        <w:rPr>
          <w:color w:val="000000"/>
          <w:lang w:val="es-AR" w:eastAsia="es-AR" w:bidi="es-AR"/>
        </w:rPr>
      </w:pPr>
      <w:r>
        <w:rPr>
          <w:color w:val="000000"/>
          <w:lang w:val="es-AR" w:eastAsia="es-AR" w:bidi="es-AR"/>
        </w:rPr>
        <w:t xml:space="preserve">Por lo que como ya lo señalara el juez a quo, aún en caso de que se tratara de una simple explotación unipersonal, está igualmente obligado a llevar cuenta y razón de sus operaciones y a tener una contabilidad mercantil organizada sobre una base contable uniforme y de la que resulte un cuadro verídico de los negocios y una justificación clara de todos y cada uno de los actos susceptibles de registración contable. De modo que las constancias contables deben complementarse con la documentación respectiva. (art. 320, 321 y ccs del Cgo.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  A mayor abundamiento el sentenciante, sobre la obligación surgente de la normativa reguladora del impuesto a las ganancias (Nro. 20628), concretamente señaló que la misma "... considera a los ingresos y gastos como pertenecientes al año fiscal en el que deben tener incidencia económica, de manera que no interesa que se haya producido el cobro o el pago en el período que se liquida. Se considera renta devengada a toda aquella sobre la cual se ha adquirido el derecho de percibirla, por haberse producido los hechos necesarios para que se generen, aunque no sea exigible. Y en el caso concreto de las rentas de la tercera categoría, (Beneficios de las Empresas), la actora aplica el criterio de lo devengado, por tanto la acreencia contra el accionado debió declararse y contabilizarse".-</w:t>
      </w:r>
    </w:p>
    <w:p>
      <w:pPr>
        <w:pStyle w:val="[Normal]"/>
        <w:spacing w:line="360" w:lineRule="auto"/>
        <w:ind w:firstLine="1134"/>
        <w:jc w:val="both"/>
        <w:rPr>
          <w:color w:val="000000"/>
          <w:lang w:val="es-AR" w:eastAsia="es-AR" w:bidi="es-AR"/>
        </w:rPr>
      </w:pPr>
      <w:r>
        <w:rPr>
          <w:color w:val="000000"/>
          <w:lang w:val="es-AR" w:eastAsia="es-AR" w:bidi="es-AR"/>
        </w:rPr>
        <w:t xml:space="preserve">A lo que agrego ahora que también el articulo 8 texto vigente RG AFIP N  4519/2019, dispone  que el respaldo documental de las operaciones  y/o el traslado y entrega de bienes, se efectuará mediante la entrega en forma progresiva y correlativa, de los comprobantes, que a continuación se detallan... "  y se consigna una serie de comprobantes entre los cuales se incluye la actividad de transporte de bienes en general. Y tal normativa se incluye en la de la resolucion 1415/2003 de la AFIP.-</w:t>
      </w:r>
    </w:p>
    <w:p>
      <w:pPr>
        <w:pStyle w:val="[Normal]"/>
        <w:spacing w:line="360" w:lineRule="auto"/>
        <w:ind w:firstLine="1134"/>
        <w:jc w:val="both"/>
        <w:rPr>
          <w:color w:val="000000"/>
          <w:lang w:val="es-AR" w:eastAsia="es-AR" w:bidi="es-AR"/>
        </w:rPr>
      </w:pPr>
      <w:r>
        <w:rPr>
          <w:color w:val="000000"/>
          <w:lang w:val="es-AR" w:eastAsia="es-AR" w:bidi="es-AR"/>
        </w:rPr>
        <w:t xml:space="preserve">Por último, y en relación a la supuesta incongruencia de la sentencia en relación a la retención del 10% de los importes, el a quo sólo lo mencionó como de "uso propio de dicha actividad que se liquide y pague esa comisión", es decir que sólo lo trajo a cuenta como detalle de la actividad  que la actora refiriera como origen del reclamo de autos.-</w:t>
      </w:r>
    </w:p>
    <w:p>
      <w:pPr>
        <w:pStyle w:val="[Normal]"/>
        <w:spacing w:line="360" w:lineRule="auto"/>
        <w:ind w:firstLine="1134"/>
        <w:jc w:val="both"/>
        <w:rPr>
          <w:color w:val="000000"/>
          <w:lang w:val="es-AR" w:eastAsia="es-AR" w:bidi="es-AR"/>
        </w:rPr>
      </w:pPr>
      <w:r>
        <w:rPr>
          <w:color w:val="000000"/>
          <w:lang w:val="es-AR" w:eastAsia="es-AR" w:bidi="es-AR"/>
        </w:rPr>
        <w:t xml:space="preserve"> 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interpuesto y en su mérito confirmar la sentencia de primera instancia. Costas a la apelante que resulta vencida (art. 68 del C.P.C. y C.).-</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los honorarios de Alzada hasta el momento oportuno (Art. 31 ley arancelaria).-</w:t>
      </w:r>
    </w:p>
    <w:p>
      <w:pPr>
        <w:pStyle w:val="[Normal]"/>
        <w:spacing w:line="360" w:lineRule="auto"/>
        <w:ind w:firstLine="1134"/>
        <w:jc w:val="both"/>
        <w:rPr>
          <w:color w:val="000000"/>
          <w:lang w:val="es-AR" w:eastAsia="es-AR" w:bidi="es-AR"/>
        </w:rPr>
      </w:pPr>
      <w:r>
        <w:rPr>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interpuesto y en su mérito confirmar la sentencia de primera instancia. Costas a la apelante que resulta vencida (art. 68 del C.P.C. y C.).-</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los honorarios de Alzada hasta el momento oportuno (Art. 31 ley arancelaria).-</w:t>
      </w:r>
    </w:p>
    <w:p>
      <w:pPr>
        <w:pStyle w:val="[Normal]"/>
        <w:spacing w:line="360" w:lineRule="auto"/>
        <w:ind w:firstLine="1134"/>
        <w:jc w:val="both"/>
        <w:rPr>
          <w:color w:val="000000"/>
          <w:lang w:val="es-AR" w:eastAsia="es-AR" w:bidi="es-AR"/>
        </w:rPr>
      </w:pPr>
      <w:r>
        <w:rPr>
          <w:color w:val="000000"/>
          <w:lang w:val="es-AR" w:eastAsia="es-AR" w:bidi="es-AR"/>
        </w:rPr>
        <w:t xml:space="preserve">Regístrese. Notifíquese. Devuélvase.-</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06/10/2020 09:48:39 -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06/10/2020 10:00:05 -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06/10/2020 10:00:58 -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06/10/2020 11:47:55 - Ana Maria Albornoz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‰7ƒ")è${qN?Š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239902090004918146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jc w:val="right"/>
            <w:rPr>
              <w:lang w:val="es-AR" w:eastAsia="es-AR" w:bidi="es-AR"/>
            </w:rPr>
          </w:pPr>
          <w:r>
            <w:rPr>
              <w:rFonts w:ascii="BarCode 128" w:hAnsi="BarCode 128" w:eastAsia="BarCode 128" w:cs="BarCode 128"/>
              <w:color w:val="000000"/>
              <w:sz w:val="50"/>
              <w:lang w:val="es-AR" w:eastAsia="es-AR" w:bidi="es-AR"/>
            </w:rPr>
            <w:t xml:space="preserve">‰7ƒ")è${qN?Š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