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149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946/951</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20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3959-20</w:t>
      </w:r>
      <w:r>
        <w:rPr>
          <w:lang w:val="es-AR" w:eastAsia="es-AR" w:bidi="es-AR"/>
        </w:rPr>
        <w:t xml:space="preserve"> caratulados </w:t>
      </w:r>
      <w:r>
        <w:rPr>
          <w:b/>
          <w:lang w:val="es-AR" w:eastAsia="es-AR" w:bidi="es-AR"/>
        </w:rPr>
        <w:t xml:space="preserve">"</w:t>
      </w:r>
      <w:r>
        <w:rPr>
          <w:b/>
          <w:color w:val="000000"/>
          <w:lang w:val="es-AR" w:eastAsia="es-AR" w:bidi="es-AR"/>
        </w:rPr>
        <w:t xml:space="preserve">CFN S.A.  C/ LUCCI NORMA BEATRIZ S/ COBRO EJECUTIVO</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-84014-</w:t>
      </w:r>
      <w:r>
        <w:rPr>
          <w:lang w:val="es-AR" w:eastAsia="es-AR" w:bidi="es-AR"/>
        </w:rPr>
        <w:t xml:space="preserve"> del </w:t>
      </w:r>
      <w:r>
        <w:rPr>
          <w:color w:val="000000"/>
          <w:lang w:val="es-AR" w:eastAsia="es-AR" w:bidi="es-AR"/>
        </w:rPr>
        <w:t xml:space="preserve">Juzgado en lo Civil y Comercial N° 2 </w:t>
      </w:r>
      <w:r>
        <w:rPr>
          <w:lang w:val="es-AR" w:eastAsia="es-AR" w:bidi="es-AR"/>
        </w:rPr>
        <w:t xml:space="preserve">Departamental, encontrándose el Dr. Bernardo Louise excusado mediante providencia del día 7-7-2020</w:t>
      </w:r>
      <w:r>
        <w:rPr>
          <w:color w:val="000000"/>
          <w:lang w:val="es-AR" w:eastAsia="es-AR" w:bidi="es-AR"/>
        </w:rPr>
        <w:t xml:space="preserve">,</w:t>
      </w:r>
      <w:r>
        <w:rPr>
          <w:lang w:val="es-AR" w:eastAsia="es-AR" w:bidi="es-AR"/>
        </w:rPr>
        <w:t xml:space="preserve"> se ordenó la integración de este Tribunal y se practicó el sorteo de ley que determinó que la votación debía efectuarse en el siguiente orden: </w:t>
      </w:r>
      <w:r>
        <w:rPr>
          <w:color w:val="000000"/>
          <w:lang w:val="es-AR" w:eastAsia="es-AR" w:bidi="es-AR"/>
        </w:rPr>
        <w:t xml:space="preserve">Graciela Scaraffia y Roberto Manuel Degleue, </w:t>
      </w:r>
      <w:r>
        <w:rPr>
          <w:lang w:val="es-AR" w:eastAsia="es-AR" w:bidi="es-AR"/>
        </w:rPr>
        <w:t xml:space="preserve">estudiados los autos se resolvió plantear y votar las siguientes: </w:t>
      </w:r>
    </w:p>
    <w:p>
      <w:pPr>
        <w:pStyle w:val="[Normal]"/>
        <w:spacing w:line="360" w:lineRule="auto"/>
        <w:ind w:firstLine="1134"/>
        <w:jc w:val="both"/>
        <w:rPr>
          <w:color w:val="000000"/>
          <w:lang w:val="es-AR" w:eastAsia="es-AR" w:bidi="es-AR"/>
        </w:rPr>
      </w:pPr>
      <w:r>
        <w:rPr>
          <w:color w:val="000000"/>
          <w:u w:val="single"/>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color w:val="000000"/>
          <w:lang w:val="es-AR" w:eastAsia="es-AR" w:bidi="es-AR"/>
        </w:rPr>
        <w:t xml:space="preserve">La Sra. Jueza de primera instancia </w:t>
      </w:r>
      <w:r>
        <w:rPr>
          <w:lang w:val="es-AR" w:eastAsia="es-AR" w:bidi="es-AR"/>
        </w:rPr>
        <w:t xml:space="preserve">declaró la ineficacia de las cláusulas referida a las tasas interés, capitalización semestral y aceptación de las condiciones en los términos del art. 36 de la Ley 24240 contenidas en el cartular y en la solicitud N°90513682 de fecha 17-9-2018, emitida por Crédito Argentino (CFN S.A.). Consecuentemente, mandó llevar a cabo la ejecución, hasta tanto la deudora Norma Beatriz Lucci haga al acreedor CFN S. A., íntegro pago del capital dado en préstamo ($23.490,51), al que deberá deducirse en la etapa de ejecución de sentencia las pagos a cuenta que efectuó el deudor, con más el interés a la tasa pasiva anual promedio del mercado difundida por el Banco Central de la República Argentina vigente a la fecha de celebración del contrato, desde la fecha de mora declarada (5-11-2018), con más las costas de la ejecución.</w:t>
      </w:r>
      <w:r>
        <w:rPr>
          <w:b/>
          <w:lang w:val="es-AR" w:eastAsia="es-AR" w:bidi="es-AR"/>
        </w:rPr>
        <w:t xml:space="preserve"> </w:t>
      </w:r>
      <w:r>
        <w:rPr>
          <w:lang w:val="es-AR" w:eastAsia="es-AR" w:bidi="es-AR"/>
        </w:rPr>
        <w:t xml:space="preserve">Finalmente, difirió la regulación de honorarios del letrado interviniente para el momento en que obre en autos liquidación firme.</w:t>
      </w:r>
    </w:p>
    <w:p>
      <w:pPr>
        <w:pStyle w:val="[Normal]"/>
        <w:spacing w:line="360" w:lineRule="auto"/>
        <w:ind w:firstLine="1134"/>
        <w:jc w:val="both"/>
        <w:rPr>
          <w:b/>
          <w:lang w:val="es-AR" w:eastAsia="es-AR" w:bidi="es-AR"/>
        </w:rPr>
      </w:pPr>
      <w:r>
        <w:rPr>
          <w:lang w:val="es-AR" w:eastAsia="es-AR" w:bidi="es-AR"/>
        </w:rPr>
        <w:t xml:space="preserve">Para así decidir consideró que </w:t>
      </w:r>
      <w:r>
        <w:rPr>
          <w:color w:val="000000"/>
          <w:lang w:val="es-AR" w:eastAsia="es-AR" w:bidi="es-AR"/>
        </w:rPr>
        <w:t xml:space="preserve">del análisis de la causa surge que el pagaré que se pretende ejecutar fue librado por $</w:t>
      </w:r>
      <w:r>
        <w:rPr>
          <w:lang w:val="es-AR" w:eastAsia="es-AR" w:bidi="es-AR"/>
        </w:rPr>
        <w:t xml:space="preserve">57.542,40</w:t>
      </w:r>
      <w:r>
        <w:rPr>
          <w:color w:val="000000"/>
          <w:lang w:val="es-AR" w:eastAsia="es-AR" w:bidi="es-AR"/>
        </w:rPr>
        <w:t xml:space="preserve">, mientras que de la documentación adicional surge que el capital prestado es de $</w:t>
      </w:r>
      <w:r>
        <w:rPr>
          <w:lang w:val="es-AR" w:eastAsia="es-AR" w:bidi="es-AR"/>
        </w:rPr>
        <w:t xml:space="preserve">23.490,51</w:t>
      </w:r>
      <w:r>
        <w:rPr>
          <w:color w:val="000000"/>
          <w:lang w:val="es-AR" w:eastAsia="es-AR" w:bidi="es-AR"/>
        </w:rPr>
        <w:t xml:space="preserve">, lo que indica que el importe consignado en el cartular comprende capital más intereses. D</w:t>
      </w:r>
      <w:r>
        <w:rPr>
          <w:lang w:val="es-AR" w:eastAsia="es-AR" w:bidi="es-AR"/>
        </w:rPr>
        <w:t xml:space="preserve">eclaró abusivas las cláusulas predispuestas las condiciones particulares del préstamo que refieren a intereses y pacto de capitalización semestral. Adunando que en la demanda intentada se han pagado algunas cuotas de modo que la mora se produjo al caer el primer servicio no abonado, por lo que capitalizar al inicio el interés compensatorio, cuando aún no se ha incurrido en mora, configura un caso de anatocismo no tolerado. </w:t>
      </w:r>
    </w:p>
    <w:p>
      <w:pPr>
        <w:pStyle w:val="[Normal]"/>
        <w:spacing w:line="360" w:lineRule="auto"/>
        <w:ind w:firstLine="1134"/>
        <w:jc w:val="both"/>
        <w:rPr>
          <w:color w:val="000000"/>
          <w:lang w:val="es-AR" w:eastAsia="es-AR" w:bidi="es-AR"/>
        </w:rPr>
      </w:pPr>
      <w:r>
        <w:rPr>
          <w:color w:val="000000"/>
          <w:lang w:val="es-AR" w:eastAsia="es-AR" w:bidi="es-AR"/>
        </w:rPr>
        <w:t xml:space="preserve">Disconforme con lo resuelto apela la actora mediante el escrito electrónico de fecha 12-6-2020, concedido el recurso en relación el 16-6-2020, fundado en el acto de su interposición, no habiendo la parte demandada evacuado el traslado conferido.</w:t>
      </w:r>
    </w:p>
    <w:p>
      <w:pPr>
        <w:pStyle w:val="[Normal]"/>
        <w:spacing w:line="360" w:lineRule="auto"/>
        <w:ind w:firstLine="1134"/>
        <w:jc w:val="both"/>
        <w:rPr>
          <w:color w:val="000000"/>
          <w:lang w:val="es-AR" w:eastAsia="es-AR" w:bidi="es-AR"/>
        </w:rPr>
      </w:pPr>
      <w:r>
        <w:rPr>
          <w:color w:val="000000"/>
          <w:lang w:val="es-AR" w:eastAsia="es-AR" w:bidi="es-AR"/>
        </w:rPr>
        <w:t xml:space="preserve">Elevados los autos, se llama autos para resolver el 7-7-2020,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 memorial, la ejecutante manifiesta que con la documentación acompañada se cumple con lo dispuesto en el art. 36 de la Ley de Defensa del Consumidor. Hace hincapié en que el resolutorio se aparta de lo convenido por las partes, poniendo especial énfasis en los intereses pactados e insistiendo en la procedencia de los intereses compensatorios, moratorios y punitorios establecidos y en que se debe modificar la tasa de interés fijada. </w:t>
      </w:r>
    </w:p>
    <w:p>
      <w:pPr>
        <w:pStyle w:val="[Normal]"/>
        <w:spacing w:line="360" w:lineRule="auto"/>
        <w:ind w:firstLine="1134"/>
        <w:jc w:val="both"/>
        <w:rPr>
          <w:lang w:val="es-AR" w:eastAsia="es-AR" w:bidi="es-AR"/>
        </w:rPr>
      </w:pPr>
      <w:r>
        <w:rPr>
          <w:lang w:val="es-AR" w:eastAsia="es-AR" w:bidi="es-AR"/>
        </w:rPr>
        <w:t xml:space="preserve">Cuestiona la resolución pues en ella la magistrada no solo rebajó el monto del capital reclamado en la demanda sino que derogó los intereses compensatorios pactados, transformando un mutuo oneroso en uno gratuito.</w:t>
      </w:r>
    </w:p>
    <w:p>
      <w:pPr>
        <w:pStyle w:val="[Normal]"/>
        <w:spacing w:line="360" w:lineRule="auto"/>
        <w:ind w:firstLine="1134"/>
        <w:jc w:val="both"/>
        <w:rPr>
          <w:b/>
          <w:lang w:val="es-AR" w:eastAsia="es-AR" w:bidi="es-AR"/>
        </w:rPr>
      </w:pPr>
      <w:r>
        <w:rPr>
          <w:lang w:val="es-AR" w:eastAsia="es-AR" w:bidi="es-AR"/>
        </w:rPr>
        <w:t xml:space="preserve">En ese contexto, dice que no se morigeraron los intereses compensatorios pactados, integrando el contrato como manda la norma guardiana sino que directamente se lo privó de su percepción, imponiendo un tasa pasiva para suplir intereses compensatorios, moratorios y punitorios.</w:t>
      </w:r>
    </w:p>
    <w:p>
      <w:pPr>
        <w:pStyle w:val="[Normal]"/>
        <w:spacing w:line="360" w:lineRule="auto"/>
        <w:ind w:firstLine="1134"/>
        <w:jc w:val="both"/>
        <w:rPr>
          <w:lang w:val="es-AR" w:eastAsia="es-AR" w:bidi="es-AR"/>
        </w:rPr>
      </w:pPr>
      <w:r>
        <w:rPr>
          <w:lang w:val="es-AR" w:eastAsia="es-AR" w:bidi="es-AR"/>
        </w:rPr>
        <w:t xml:space="preserve">Destaca que la sentenciante no valoró debidamente la intención común de las partes, ni el del proceso inflacionario existente, lo que deja en evidencia el incorrecto ejercicio de la facultad morigeradora regulada por el art. 771 del CCyC, colocando al incumplidor en una mejor situación que la de aquel deudor que ha satisfecho su deuda, fomentando de esta forma el incumplimiento de las obligaciones asumidas.</w:t>
      </w:r>
    </w:p>
    <w:p>
      <w:pPr>
        <w:pStyle w:val="[Normal]"/>
        <w:spacing w:line="360" w:lineRule="auto"/>
        <w:ind w:firstLine="1134"/>
        <w:jc w:val="both"/>
        <w:rPr>
          <w:color w:val="000000"/>
          <w:lang w:val="es-AR" w:eastAsia="es-AR" w:bidi="es-AR"/>
        </w:rPr>
      </w:pPr>
      <w:r>
        <w:rPr>
          <w:lang w:val="es-AR" w:eastAsia="es-AR" w:bidi="es-AR"/>
        </w:rPr>
        <w:t xml:space="preserve">Solicita que se revoque la sentencia recurrida mandando a llevar adelante la ejecución por el monto reclamado en el escrito de inicio.</w:t>
      </w:r>
    </w:p>
    <w:p>
      <w:pPr>
        <w:pStyle w:val="[Normal]"/>
        <w:spacing w:line="360" w:lineRule="auto"/>
        <w:ind w:firstLine="1134"/>
        <w:jc w:val="both"/>
        <w:rPr>
          <w:b/>
          <w:lang w:val="es-AR" w:eastAsia="es-AR" w:bidi="es-AR"/>
        </w:rPr>
      </w:pPr>
      <w:r>
        <w:rPr>
          <w:lang w:val="es-AR" w:eastAsia="es-AR" w:bidi="es-AR"/>
        </w:rPr>
        <w:t xml:space="preserve">Liminarmente, he de señalar que la cuestión traída a esta Alzada encuentra su conflicto en la aplicación e integración de la normativa mercantil (Dec. Ley 5965/63) y la Ley de Defensa del Consumidor (Ley 24.240), cuestión compleja que acarrean los títulos ejecutivos creados en el marco de una relación de consumo, que ha dado lugar a una frondosa y variada doctrina y jurisprudencia.</w:t>
      </w:r>
    </w:p>
    <w:p>
      <w:pPr>
        <w:pStyle w:val="[Normal]"/>
        <w:spacing w:line="360" w:lineRule="auto"/>
        <w:ind w:firstLine="1134"/>
        <w:jc w:val="both"/>
        <w:rPr>
          <w:b/>
          <w:lang w:val="es-AR" w:eastAsia="es-AR" w:bidi="es-AR"/>
        </w:rPr>
      </w:pPr>
      <w:r>
        <w:rPr>
          <w:lang w:val="es-AR" w:eastAsia="es-AR" w:bidi="es-AR"/>
        </w:rPr>
        <w:t xml:space="preserve">Si bien en nuestro caso, el recurrente consintió la normativa consumeril aplicada de oficio pues no se agravia al respecto, se alza contra el decisorio que redujo el monto de la ejecución al dinero efectivamente percibido por el ejecutado conforme el contrato de mutuo acompañado, circunscribiendo su queja a que el juez no mandó llevar adelante la ejecución conforme lo convenido por las partes y a la morigeración de los intereses dispuesta por la sentenciante de grado.</w:t>
      </w:r>
    </w:p>
    <w:p>
      <w:pPr>
        <w:pStyle w:val="[Normal]"/>
        <w:spacing w:line="360" w:lineRule="auto"/>
        <w:ind w:firstLine="1134"/>
        <w:jc w:val="both"/>
        <w:rPr>
          <w:lang w:val="es-AR" w:eastAsia="es-AR" w:bidi="es-AR"/>
        </w:rPr>
      </w:pPr>
      <w:r>
        <w:rPr>
          <w:lang w:val="es-AR" w:eastAsia="es-AR" w:bidi="es-AR"/>
        </w:rPr>
        <w:t xml:space="preserve">Sobre ambas temáticas debo anticipar que ya me he pronunciado en las causas N° 3818 "CREDINEGOCIOS MOSCASIL S.A. c/ Vazquez Marcelo Fabian s/ cobro ejecutivo" y 3885 "CREDINEGOCIOS MOSCASIL S.A.  C/ Mendez Ariel Esteban y otro s/ cobro ejecutivo".</w:t>
      </w:r>
    </w:p>
    <w:p>
      <w:pPr>
        <w:pStyle w:val="[Normal]"/>
        <w:spacing w:line="360" w:lineRule="auto"/>
        <w:ind w:firstLine="1134"/>
        <w:jc w:val="both"/>
        <w:rPr>
          <w:lang w:val="es-AR" w:eastAsia="es-AR" w:bidi="es-AR"/>
        </w:rPr>
      </w:pPr>
      <w:r>
        <w:rPr>
          <w:lang w:val="es-AR" w:eastAsia="es-AR" w:bidi="es-AR"/>
        </w:rPr>
        <w:t xml:space="preserve"> En aquellas oportunidades, me expedí mandando a pagar capital más intereses pactados en el contrato de mutuo con deducción de los importes ya abonados, todo ello sin perjuicio de diferir la evaluación de si los mismos resultaban excesivos y contrarios a la moral y buenas costumbres al momento procesal de examinar la liquidación, teniendo en cuenta lo que disponen los arts. 10, 279, 771, 794 y ccs. del Código Civil y Comercial.</w:t>
      </w:r>
    </w:p>
    <w:p>
      <w:pPr>
        <w:pStyle w:val="[Normal]"/>
        <w:spacing w:line="360" w:lineRule="auto"/>
        <w:ind w:firstLine="1134"/>
        <w:jc w:val="both"/>
        <w:rPr>
          <w:lang w:val="es-AR" w:eastAsia="es-AR" w:bidi="es-AR"/>
        </w:rPr>
      </w:pPr>
      <w:r>
        <w:rPr>
          <w:lang w:val="es-AR" w:eastAsia="es-AR" w:bidi="es-AR"/>
        </w:rPr>
        <w:t xml:space="preserve"> De modo que la similitud formal y sustancial de los precedentes aludidos con la presente causa resulta evidente y comprobable. A saber, en los tres supuestos se trata una pretensión ejecutiva integrada por un crédito documentado en un contrato de mutuo y simultáneamente instrumentado en un pagaré -en este último se capitalizan intereses devengados con base en la relación causal-, existen pagos parciales oblados por el demandado y el objeto del reclamo judicial se proyecta sobre el capital más los intereses.</w:t>
      </w:r>
    </w:p>
    <w:p>
      <w:pPr>
        <w:pStyle w:val="[Normal]"/>
        <w:spacing w:line="360" w:lineRule="auto"/>
        <w:ind w:firstLine="1134"/>
        <w:jc w:val="both"/>
        <w:rPr>
          <w:lang w:val="es-AR" w:eastAsia="es-AR" w:bidi="es-AR"/>
        </w:rPr>
      </w:pPr>
      <w:r>
        <w:rPr>
          <w:lang w:val="es-AR" w:eastAsia="es-AR" w:bidi="es-AR"/>
        </w:rPr>
        <w:t xml:space="preserve"> En este sentido, cabe aseverar que el respeto al propio precedente es la traducción jurídica del requisito de la universalidad que debe presidir a la argumentación jurídica. Constituye, en tal aspecto, una regla de racionalidad que garantiza la actuación no arbitraria de los órganos jurisdiccionales y que, en consecuencia, deja intacto el sistema de fuentes de nuestro Derecho articulado en tomo al principio de legalidad. Al decir de Abellán Gascón, "el respeto al precedente supone, pues, un género de motivación especial cuyo sentido podría formularse como sigue: hay que interpretar el Derecho conforme a criterios que, por considerarlos correctos, se estuviera dispuesto a utilizar en la resolución de todos los casos iguales que puedan presentarse en el futuro" (Cf. ABELLÁN GASCÓN, Marina, Igualdad y respeto al precedente, Universidad de Castilla La Mancha, pag. 233). </w:t>
      </w:r>
    </w:p>
    <w:p>
      <w:pPr>
        <w:pStyle w:val="[Normal]"/>
        <w:spacing w:line="360" w:lineRule="auto"/>
        <w:ind w:firstLine="1134"/>
        <w:jc w:val="both"/>
        <w:rPr>
          <w:lang w:val="es-AR" w:eastAsia="es-AR" w:bidi="es-AR"/>
        </w:rPr>
      </w:pPr>
      <w:r>
        <w:rPr>
          <w:lang w:val="es-AR" w:eastAsia="es-AR" w:bidi="es-AR"/>
        </w:rPr>
        <w:t xml:space="preserve">Empero, la regla precitada no significa que los órganos judiciales no puedan modificar sus propios precedentes, sino que en tal caso deberán hacerlo en términos que permitan apreciar que el nuevo criterio interpretativo ha sido adoptado como solución genérica dotada de vocación para ser aplicada en casos futuros o como solución justificada en las características diferenciales que presente el caso nuevo respecto a los casos en base a los cuales se consolidó el precedente. De manera que lo que prohíbe el principio de igualdad en la aplicación de la Ley es el cambio irreflexivo o arbitrario, y no el cambio legítimo y razonable, es decir, basado en razones jurídicas objetivas que excluyan todo significado de resolución ad personam.</w:t>
      </w:r>
    </w:p>
    <w:p>
      <w:pPr>
        <w:pStyle w:val="[Normal]"/>
        <w:spacing w:line="360" w:lineRule="auto"/>
        <w:ind w:firstLine="1134"/>
        <w:jc w:val="both"/>
        <w:rPr>
          <w:b/>
          <w:lang w:val="es-AR" w:eastAsia="es-AR" w:bidi="es-AR"/>
        </w:rPr>
      </w:pPr>
      <w:r>
        <w:rPr>
          <w:lang w:val="es-AR" w:eastAsia="es-AR" w:bidi="es-AR"/>
        </w:rPr>
        <w:t xml:space="preserve"> Y dado que las características particulares del presente caso no invalidan la aplicación del autoprecedente sentado en la causa de referencia corresponde adoptar una solución que guarde coherencia lógica y jurídica con la mentada resolución.</w:t>
      </w:r>
    </w:p>
    <w:p>
      <w:pPr>
        <w:pStyle w:val="[Normal]"/>
        <w:spacing w:line="360" w:lineRule="auto"/>
        <w:ind w:firstLine="1134"/>
        <w:jc w:val="both"/>
        <w:rPr>
          <w:b/>
          <w:lang w:val="es-AR" w:eastAsia="es-AR" w:bidi="es-AR"/>
        </w:rPr>
      </w:pPr>
      <w:r>
        <w:rPr>
          <w:lang w:val="es-AR" w:eastAsia="es-AR" w:bidi="es-AR"/>
        </w:rPr>
        <w:t xml:space="preserve">Sentado ello, y analizando la documentación agregada, el pagaré fue librado por la suma total de $57.542,40. Dicho instrumento ha sido integrado desde el inicio con el instrumento anexo adjuntado (condiciones de contratación/contrato de mutuo) (v. archivo adjunto presentación electrónica 3-6-2019), del cual surge que el monto de efectivo otorgado en préstamo al demandado es de $23.490,51 y se establecieron las condiciones del préstamo. De allí surgen cuotas vencidas y cuotas que aún no han vencido. Con ambos documentos se dio cumplimiento con la integración del título conforme lo ha dispuesto la jurisprudencia imperante en la Provincia. Mediante el mandamiento de intimación de pago digitalizado el 13-8-2019, debidamente diligenciado, se bilateralizó el reclamo junto con los documentos base de la acción y la demandada tomo conocimiento de lo reclamado, sin plantear ninguna defensa que haga a su derecho (art. 521 y 530 del CPCC).  </w:t>
      </w:r>
    </w:p>
    <w:p>
      <w:pPr>
        <w:pStyle w:val="[Normal]"/>
        <w:spacing w:line="360" w:lineRule="auto"/>
        <w:ind w:firstLine="1134"/>
        <w:jc w:val="both"/>
        <w:rPr>
          <w:lang w:val="es-AR" w:eastAsia="es-AR" w:bidi="es-AR"/>
        </w:rPr>
      </w:pPr>
      <w:r>
        <w:rPr>
          <w:lang w:val="es-AR" w:eastAsia="es-AR" w:bidi="es-AR"/>
        </w:rPr>
        <w:t xml:space="preserve">Sabido es que el juez tiene la facultad de analizar al tiempo de dictar la sentencia, los títulos base de la ejecución, y sobre el particular la Suprema Corte de la Provincia  expuso recientemente, la posibilidad que el magistrado analice la documentación subyacente y reduzca el monto por el cual se puede despachar la ejecución. </w:t>
      </w:r>
    </w:p>
    <w:p>
      <w:pPr>
        <w:pStyle w:val="[Normal]"/>
        <w:spacing w:line="360" w:lineRule="auto"/>
        <w:ind w:firstLine="1134"/>
        <w:jc w:val="both"/>
        <w:rPr>
          <w:lang w:val="es-AR" w:eastAsia="es-AR" w:bidi="es-AR"/>
        </w:rPr>
      </w:pPr>
      <w:r>
        <w:rPr>
          <w:lang w:val="es-AR" w:eastAsia="es-AR" w:bidi="es-AR"/>
        </w:rPr>
        <w:t xml:space="preserve">Abordó el tema del siguiente modo, "</w:t>
      </w:r>
      <w:r>
        <w:rPr>
          <w:i/>
          <w:lang w:val="es-AR" w:eastAsia="es-AR" w:bidi="es-AR"/>
        </w:rPr>
        <w:t xml:space="preserve">En el asunto a dirimir, tras inspeccionar el contrato de solicitud de préstamo (mutuo) que complementa al pagaré, la Cámara de Apelación valoró que merced a la integración de ambos documentos se cumplía con el art. 36 de la LDC. Por tal motivo desglosó del reclamo el monto del capital que surgía de dicho contrato y supeditó el pronunciamiento acerca de los intereses -rubro susceptible de revisión en caso de abuso o desproporción, art. 771, Código Civil y Comercial- para la oportunidad del dictado de la sentencia. Ese modo de obrar, que cabe juzgar aquí en el marco de lo resuelto por el a quo y de los agravios articulados ante esta Corte, no contraviene los parámetros interpretativos antes mencionados." </w:t>
      </w:r>
      <w:r>
        <w:rPr>
          <w:lang w:val="es-AR" w:eastAsia="es-AR" w:bidi="es-AR"/>
        </w:rPr>
        <w:t xml:space="preserve">(Causas C. 121.684, Asociación Mutual Asis).</w:t>
      </w:r>
    </w:p>
    <w:p>
      <w:pPr>
        <w:pStyle w:val="[Normal]"/>
        <w:spacing w:line="360" w:lineRule="auto"/>
        <w:ind w:firstLine="1134"/>
        <w:jc w:val="both"/>
        <w:rPr>
          <w:lang w:val="es-AR" w:eastAsia="es-AR" w:bidi="es-AR"/>
        </w:rPr>
      </w:pPr>
      <w:r>
        <w:rPr>
          <w:lang w:val="es-AR" w:eastAsia="es-AR" w:bidi="es-AR"/>
        </w:rPr>
        <w:t xml:space="preserve">Posteriormente, en la causa C122.124, Recupero On line S.A. (resol. De 18-XI-2019), añadió  que los jueces se encuentran habilitados para examinar si los papeles cambiarios abastecen los recaudos exigidos por el mentado art. 36, pudiendo valorar aquellos instrumentos complementarios que se hubieran acompañado en la demanda y/u ordenar su acompañamiento en el supuesto que se hubiesen omitido, a través de la vía procesal pertinente (art. 34 inc 5, apdo b, 36 inc. 2 y 523 del CPCC). De ahí que, si los títulos en cuestión, en forma autónoma o integrada, satisfacen las exigencias legales prescriptas en el estatuto consumeril, los magistrados podrán dar curso a la ejecución. Lo dicho, claro está, sin demedro del derecho del ejecutado de articular defensas, incluso centradas en el art. 36 de la Ley 24.240, tendientes a neutralizar la procedencia de la acción (Conf. Doctr. Causas C. 121.684, Asociacion Mutual Asis; C. 122.124 Recupero On Line S.A. ambas citadas mas arriba y C.122.155 Banco Columbia, resol. 16-X-2019, y recientemente, C.122.128 Trus Funds S.A. vs. Romero s cobro ejecutivo, SCJ, 7-5-2020).</w:t>
      </w:r>
    </w:p>
    <w:p>
      <w:pPr>
        <w:pStyle w:val="[Normal]"/>
        <w:spacing w:line="360" w:lineRule="auto"/>
        <w:ind w:firstLine="1134"/>
        <w:jc w:val="both"/>
        <w:rPr>
          <w:b/>
          <w:lang w:val="es-AR" w:eastAsia="es-AR" w:bidi="es-AR"/>
        </w:rPr>
      </w:pPr>
      <w:r>
        <w:rPr>
          <w:lang w:val="es-AR" w:eastAsia="es-AR" w:bidi="es-AR"/>
        </w:rPr>
        <w:t xml:space="preserve">En definitiva, analizando el pagaré y el contrato de mutuo, conformando así un título complejo, resulta que el ejecutante cumplió con los requisitos previstos en el art. 36 de la LDC, y siguiendo los lineamientos establecidos por el Máximo Tribunal, y lo resuelto por la jueza que previno, la presente ejecución ha de prosperar, pero sólo por el monto de capital dado en préstamo, descontando en la etapa de ejecución de sentencia los pagos a cuenta que efectuó el deudor, con más los intereses a los cuales a continuación me referiré.</w:t>
      </w:r>
    </w:p>
    <w:p>
      <w:pPr>
        <w:pStyle w:val="[Normal]"/>
        <w:spacing w:line="360" w:lineRule="auto"/>
        <w:ind w:firstLine="1134"/>
        <w:jc w:val="both"/>
        <w:rPr>
          <w:lang w:val="es-AR" w:eastAsia="es-AR" w:bidi="es-AR"/>
        </w:rPr>
      </w:pPr>
      <w:r>
        <w:rPr>
          <w:lang w:val="es-AR" w:eastAsia="es-AR" w:bidi="es-AR"/>
        </w:rPr>
        <w:t xml:space="preserve">Resolver lo contrario, implicaría sumarle al capital dado en préstamo los intereses de las cuotas aún no devengados, dado que conforme surge de los títulos, la financiación es de dos años, devengándose la primer cuota en fecha 5-7-2018. En definitiva el reclamo del acreedor generaría un enriquecimiento desmedido del ejecutante, y en claro desmedro del consumidor pues el monto determinado en el pagaré objeto de autos, incluye el capital más los intereses.</w:t>
      </w:r>
    </w:p>
    <w:p>
      <w:pPr>
        <w:pStyle w:val="[Normal]"/>
        <w:spacing w:line="360" w:lineRule="auto"/>
        <w:ind w:firstLine="1134"/>
        <w:jc w:val="both"/>
        <w:rPr>
          <w:lang w:val="es-AR" w:eastAsia="es-AR" w:bidi="es-AR"/>
        </w:rPr>
      </w:pPr>
      <w:r>
        <w:rPr>
          <w:lang w:val="es-AR" w:eastAsia="es-AR" w:bidi="es-AR"/>
        </w:rPr>
        <w:t xml:space="preserve">La solución que propongo coincide con un fallo recientemente dictado por los colegas de la Sala I de la Cámara de Azul, que han sostenido </w:t>
      </w:r>
      <w:r>
        <w:rPr>
          <w:i/>
          <w:lang w:val="es-AR" w:eastAsia="es-AR" w:bidi="es-AR"/>
        </w:rPr>
        <w:t xml:space="preserve">"...en los casos en que la información brindada en cumplimiento con los dispuesto por el art. 36 resulte de algún modo defectuosa, oscura o insuficiente, ello no habilita sin más la vía ejecutiva para su reclamo, sino que el juez resuelva al efecto en el sentido más favorable al consumidor, en consonancia con los principios rectores pro consumidor y pro deudor (Conf. Art. 42 CN, 38 Const. Provincial, 1, 2, 3, 4, 36, 37 y 65 LDC y 1100 y ccdtes. CCCN). Y en oportunidad de dictar sentencia, advertidas que fueran las contradicciones o insuficiencias de la información brindada al efecto, deberán resolver en el sentido más favorable al consumidor". </w:t>
      </w:r>
      <w:r>
        <w:rPr>
          <w:lang w:val="es-AR" w:eastAsia="es-AR" w:bidi="es-AR"/>
        </w:rPr>
        <w:t xml:space="preserve">(Camara de Apelaciones Azul, Sala I, Alarfin S.A. c. Rojas Pablo s. Ejecucion prendaria, 12-05-2020).</w:t>
      </w:r>
    </w:p>
    <w:p>
      <w:pPr>
        <w:pStyle w:val="[Normal]"/>
        <w:spacing w:line="360" w:lineRule="auto"/>
        <w:ind w:firstLine="1134"/>
        <w:jc w:val="both"/>
        <w:rPr>
          <w:b/>
          <w:lang w:val="es-AR" w:eastAsia="es-AR" w:bidi="es-AR"/>
        </w:rPr>
      </w:pPr>
      <w:r>
        <w:rPr>
          <w:lang w:val="es-AR" w:eastAsia="es-AR" w:bidi="es-AR"/>
        </w:rPr>
        <w:t xml:space="preserve">Finalmente, en cuanto al agravio relativo a la morigeración de los intereses dispuesta por el a-quo, si bien el CCyC atribuye a los jueces dicha facultad cuando la tasa fijada pueda importar una carga desmedida para el deudor, o exceda sin justificación y desproporcionadamente, el costo medio del dinero para deudores y operaciones similares en el lugar donde se contrajo la obligación (art. 771 CCyC), conforme me he expedido en las causas a las que hice referencia a comenzar el desarrollo de mi voto, considero que corresponde posponer el análisis de las cláusulas de intereses para el momento de la liquidación desde que en esa ocasión se va a poder determinar con exactitud y precisión la suma total que corresponde a intereses, ya sean compensatorios, punitorios y desde la fecha de la mora.</w:t>
      </w:r>
    </w:p>
    <w:p>
      <w:pPr>
        <w:pStyle w:val="[Normal]"/>
        <w:spacing w:line="360" w:lineRule="auto"/>
        <w:ind w:firstLine="1134"/>
        <w:jc w:val="both"/>
        <w:rPr>
          <w:color w:val="000000"/>
          <w:lang w:val="es-AR" w:eastAsia="es-AR" w:bidi="es-AR"/>
        </w:rPr>
      </w:pPr>
      <w:r>
        <w:rPr>
          <w:lang w:val="es-AR" w:eastAsia="es-AR" w:bidi="es-AR"/>
        </w:rPr>
        <w:t xml:space="preserve">En este sentido, he dicho que ello no importa vulnerar la cualidad de cosa juzgada de la sentencia judicial, habida cuenta de que la revisión ulterior del monto de los intereses bien puede estar prevista en la propia resolución de condena. No media en estos supuestos una afectación del derecho constitucional de propiedad, sino más bien una modalización temporal de la sentencia judicial que contempla en su propio espectro virtual la posibilidad de controlar la abusividad de los intereses en la etapa de liquidación que es, en definitiva, el momento procesal en el que se puede establecer con precisión la cuantía exacta de los intereses devengados (conf. causa N° 3885 "CREDINEGOCIOS MOSCASIL S.A.  C/ Mendez Ariel Esteban y otro s/ cobro ejecutivo").</w:t>
      </w:r>
    </w:p>
    <w:p>
      <w:pPr>
        <w:pStyle w:val="[Normal]"/>
        <w:spacing w:line="360" w:lineRule="auto"/>
        <w:ind w:firstLine="1134"/>
        <w:jc w:val="both"/>
        <w:rPr>
          <w:lang w:val="es-AR" w:eastAsia="es-AR" w:bidi="es-AR"/>
        </w:rPr>
      </w:pPr>
      <w:r>
        <w:rPr>
          <w:lang w:val="es-AR" w:eastAsia="es-AR" w:bidi="es-AR"/>
        </w:rPr>
        <w:t xml:space="preserve">Cabe señalar también que el carácter completo de la sentencia de condena no implica necesariamente que ésta habrá de precisar la suma nominal debida en forma definitiva, sino tan sólo que debe prever las bases jurídicas para determinar lo realmente adeudado. Por lo que, como dije, nada empece a que la resolución aludida difiera el control de abusividad de los intereses para el momento de la liquidación (oportunidad en la que el juez podrá determinar los intereses devengados con anterioridad y posterioridad a la sentencia judicial, descontar los pagos parciales realizados conforme a las reglas legales de imputación y, en definitiva, formarse una representación clara del monto final adeudado). </w:t>
      </w:r>
    </w:p>
    <w:p>
      <w:pPr>
        <w:pStyle w:val="[Normal]"/>
        <w:spacing w:line="360" w:lineRule="auto"/>
        <w:ind w:firstLine="1134"/>
        <w:jc w:val="both"/>
        <w:rPr>
          <w:lang w:val="es-AR" w:eastAsia="es-AR" w:bidi="es-AR"/>
        </w:rPr>
      </w:pPr>
      <w:r>
        <w:rPr>
          <w:lang w:val="es-AR" w:eastAsia="es-AR" w:bidi="es-AR"/>
        </w:rPr>
        <w:t xml:space="preserve">De manera que existen razones lógicas y prácticas que justifican el diferimiento de dicho análisis para la oportunidad de referencia. Y a los fines de asegurar la inmutabilidad de la cosa juzgada (que en esta materia, cabe agregar, es relativa y no absoluta por tratarse de una cosa juzgada de tipo formal), lo esencial es que las operaciones determinativas posteriores al dictado de la sentencia no aparezcan como maniobras ajenas al decisorio, sino como la plasmación efectiva de criterios determinativos allí contemplados (art. 165 y 549 del CPCCBA), aún cuando tal aplicación sea diferida y no obstante que su realización implique algún grado de valoración jurídica y no meramente matemática.</w:t>
      </w:r>
    </w:p>
    <w:p>
      <w:pPr>
        <w:pStyle w:val="[Normal]"/>
        <w:spacing w:line="360" w:lineRule="auto"/>
        <w:ind w:firstLine="1134"/>
        <w:jc w:val="both"/>
        <w:rPr>
          <w:color w:val="000000"/>
          <w:lang w:val="es-AR" w:eastAsia="es-AR" w:bidi="es-AR"/>
        </w:rPr>
      </w:pPr>
      <w:r>
        <w:rPr>
          <w:lang w:val="es-AR" w:eastAsia="es-AR" w:bidi="es-AR"/>
        </w:rPr>
        <w:t xml:space="preserve">En función de lo expuesto, propongo a mi distinguido colega modificar en este punto el pronunciamiento de grado por lo que al monto de capital dado en préstamo se le adicionaran los intereses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Manuel Degleue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parcialmente al recurso de apelación deducido </w:t>
      </w:r>
      <w:r>
        <w:rPr>
          <w:lang w:val="es-AR" w:eastAsia="es-AR" w:bidi="es-AR"/>
        </w:rPr>
        <w:t xml:space="preserve">y en consecuencia confirmar la resolución apelada en cuanto manda llevar a cabo la ejecución por el monto del capital dado en préstamo ($23.490,51), deduciendo en la etapa de ejecución de sentencia las pagos a cuenta que efectuó el deudor, y modificar el punto relativo a los intereses, debiéndose aplicar los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color w:val="000000"/>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Manuel Degleue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b/>
          <w:color w:val="000000"/>
          <w:u w:val="single"/>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Hacer lugar parcialmente al recurso de apelación deducido </w:t>
      </w:r>
      <w:r>
        <w:rPr>
          <w:lang w:val="es-AR" w:eastAsia="es-AR" w:bidi="es-AR"/>
        </w:rPr>
        <w:t xml:space="preserve">y en consecuencia confirmar la resolución apelada en cuanto manda llevar a cabo la ejecución por el monto del capital dado en préstamo ($23.490,51), deduciendo en la etapa de ejecución de sentencia las pagos a cuenta que efectuó el deudor, y modificar el punto relativo a los intereses, debiéndose aplicar los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color w:val="000000"/>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color w:val="000000"/>
          <w:lang w:val="es-AR" w:eastAsia="es-AR" w:bidi="es-AR"/>
        </w:rPr>
      </w:pPr>
      <w:r>
        <w:rPr>
          <w:color w:val="000000"/>
          <w:lang w:val="es-AR" w:eastAsia="es-AR" w:bidi="es-AR"/>
        </w:rPr>
        <w:t xml:space="preserve">Regístrese. Notifíquese. Devuélvase.</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20/10/2020 09:44:04 -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20/10/2020 09:53:46 -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20/10/2020 10:55:44 -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‰7F")è$|1%aŠ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233802090004921705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6" w:h="16837"/>
      <w:pgMar w:top="3176"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jc w:val="right"/>
            <w:rPr>
              <w:lang w:val="es-AR" w:eastAsia="es-AR" w:bidi="es-AR"/>
            </w:rPr>
          </w:pPr>
          <w:r>
            <w:rPr>
              <w:rFonts w:ascii="BarCode 128" w:hAnsi="BarCode 128" w:eastAsia="BarCode 128" w:cs="BarCode 128"/>
              <w:color w:val="000000"/>
              <w:sz w:val="50"/>
              <w:lang w:val="es-AR" w:eastAsia="es-AR" w:bidi="es-AR"/>
            </w:rPr>
            <w:t xml:space="preserve">‰7F")è$|1%aŠ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EM">
    <w:name w:val="EM"/>
    <w:qFormat/>
    <w:rPr>
      <w:i/>
      <w:iCs/>
      <w:rtl w:val="off"/>
      <w:lang w:val="x-none" w:eastAsia="x-none" w:bidi="x-none"/>
    </w:rPr>
  </w:style>
  <w:style w:type="character" w:styleId="U">
    <w:name w:val="U"/>
    <w:qFormat/>
    <w:rPr>
      <w:u w:val="single"/>
      <w:rtl w:val="off"/>
      <w:lang w:val="x-none" w:eastAsia="x-none" w:bidi="x-none"/>
    </w:rPr>
  </w:style>
  <w:style w:type="character" w:styleId="STRONG">
    <w:name w:val="STRONG"/>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