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color w:val="000000"/>
          <w:lang w:val="es-AR" w:eastAsia="es-AR" w:bidi="es-AR"/>
        </w:rPr>
      </w:pPr>
      <w:r>
        <w:rPr>
          <w:b/>
          <w:lang w:val="es-AR" w:eastAsia="es-AR" w:bidi="es-AR"/>
        </w:rPr>
        <w:t xml:space="preserve">	Registro N° 154 /</w:t>
      </w:r>
      <w:r>
        <w:rPr>
          <w:b/>
          <w:color w:val="000000"/>
          <w:lang w:val="es-AR" w:eastAsia="es-AR" w:bidi="es-AR"/>
        </w:rPr>
        <w:t xml:space="preserve">2020</w:t>
      </w:r>
      <w:r>
        <w:rPr>
          <w:color w:val="000000"/>
          <w:lang w:val="es-AR" w:eastAsia="es-AR" w:bidi="es-AR"/>
        </w:rPr>
        <w:t xml:space="preserve"> </w:t>
      </w:r>
    </w:p>
    <w:p>
      <w:pPr>
        <w:pStyle w:val="[Normal]"/>
        <w:spacing w:line="360" w:lineRule="auto"/>
        <w:rPr>
          <w:lang w:val="es-AR" w:eastAsia="es-AR" w:bidi="es-AR"/>
        </w:rPr>
      </w:pP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975/979</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22 de octubre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3965-20</w:t>
      </w:r>
      <w:r>
        <w:rPr>
          <w:lang w:val="es-AR" w:eastAsia="es-AR" w:bidi="es-AR"/>
        </w:rPr>
        <w:t xml:space="preserve"> caratulada </w:t>
      </w:r>
      <w:r>
        <w:rPr>
          <w:b/>
          <w:lang w:val="es-AR" w:eastAsia="es-AR" w:bidi="es-AR"/>
        </w:rPr>
        <w:t xml:space="preserve">"</w:t>
      </w:r>
      <w:r>
        <w:rPr>
          <w:b/>
          <w:color w:val="000000"/>
          <w:lang w:val="es-AR" w:eastAsia="es-AR" w:bidi="es-AR"/>
        </w:rPr>
        <w:t xml:space="preserve">PARDO S.A.  C/ FERNANDEZ NATALI ROSALIA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84877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Roberto Manuel Degleue, Graciela Scaraffia, Bernardo Louise,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grado intimó a la ejecutada para que dentro del quinto día comparezca personalmente ante el mismo a efectuar el reconocimiento que determina el Art. 523 Inc. 1º del C.P.C. respecto de la documental respaldatoria del pagaré objeto de la presente ejecución, ello bajo apercibimiento de lo dispuesto por el Art. 524 del mismo Código.</w:t>
      </w:r>
    </w:p>
    <w:p>
      <w:pPr>
        <w:pStyle w:val="[Normal]"/>
        <w:spacing w:line="360" w:lineRule="auto"/>
        <w:ind w:firstLine="1134"/>
        <w:jc w:val="both"/>
        <w:rPr>
          <w:lang w:val="es-AR" w:eastAsia="es-AR" w:bidi="es-AR"/>
        </w:rPr>
      </w:pPr>
      <w:r>
        <w:rPr>
          <w:lang w:val="es-AR" w:eastAsia="es-AR" w:bidi="es-AR"/>
        </w:rPr>
        <w:t xml:space="preserve">Disconforme con lo decidido, el apoderado de la actora deduce recurso de reposición con apelación en subsidio, mediante presentación electrónica de fecha 22 de junio del corriente.</w:t>
      </w:r>
    </w:p>
    <w:p>
      <w:pPr>
        <w:pStyle w:val="[Normal]"/>
        <w:spacing w:line="360" w:lineRule="auto"/>
        <w:ind w:firstLine="1134"/>
        <w:jc w:val="both"/>
        <w:rPr>
          <w:lang w:val="es-AR" w:eastAsia="es-AR" w:bidi="es-AR"/>
        </w:rPr>
      </w:pPr>
      <w:r>
        <w:rPr>
          <w:lang w:val="es-AR" w:eastAsia="es-AR" w:bidi="es-AR"/>
        </w:rPr>
        <w:t xml:space="preserve">Dice que el fallo aplica la doctrina del pagaré de consumo en forma arbitraria, sin valorar la prueba de autos.</w:t>
      </w:r>
    </w:p>
    <w:p>
      <w:pPr>
        <w:pStyle w:val="[Normal]"/>
        <w:spacing w:line="360" w:lineRule="auto"/>
        <w:ind w:firstLine="1134"/>
        <w:jc w:val="both"/>
        <w:rPr>
          <w:b/>
          <w:lang w:val="es-AR" w:eastAsia="es-AR" w:bidi="es-AR"/>
        </w:rPr>
      </w:pPr>
      <w:r>
        <w:rPr>
          <w:lang w:val="es-AR" w:eastAsia="es-AR" w:bidi="es-AR"/>
        </w:rPr>
        <w:t xml:space="preserve">Sobre el particular, refiere que inicia la presente ejecución en base a tres pagarés y además acompaña planillas donde constan los recaudos exigidos por el art. 36 de la Ley de Consumo.</w:t>
      </w:r>
    </w:p>
    <w:p>
      <w:pPr>
        <w:pStyle w:val="[Normal]"/>
        <w:spacing w:line="360" w:lineRule="auto"/>
        <w:ind w:firstLine="1134"/>
        <w:jc w:val="both"/>
        <w:rPr>
          <w:lang w:val="es-AR" w:eastAsia="es-AR" w:bidi="es-AR"/>
        </w:rPr>
      </w:pPr>
      <w:r>
        <w:rPr>
          <w:lang w:val="es-AR" w:eastAsia="es-AR" w:bidi="es-AR"/>
        </w:rPr>
        <w:t xml:space="preserve">Sostiene que las diferencias existentes entre los pagarés y la documentación anexa no privan de validez a los primeros, y se deben a que en tales cartulares se expresa sólo el capital sin computarse los intereses, lo que por lo demás beneficia al consumidor.-</w:t>
      </w:r>
    </w:p>
    <w:p>
      <w:pPr>
        <w:pStyle w:val="[Normal]"/>
        <w:spacing w:line="360" w:lineRule="auto"/>
        <w:ind w:firstLine="1134"/>
        <w:jc w:val="both"/>
        <w:rPr>
          <w:b/>
          <w:lang w:val="es-AR" w:eastAsia="es-AR" w:bidi="es-AR"/>
        </w:rPr>
      </w:pPr>
      <w:r>
        <w:rPr>
          <w:lang w:val="es-AR" w:eastAsia="es-AR" w:bidi="es-AR"/>
        </w:rPr>
        <w:t xml:space="preserve">Añadiendo que si las condiciones del crédito figurarían en el cuerpo del pagaré, éste no valdría como tal en tanto sólo debe contener los datos enunciados en el articulo 101 del decreto ley 5965.</w:t>
      </w:r>
    </w:p>
    <w:p>
      <w:pPr>
        <w:pStyle w:val="[Normal]"/>
        <w:spacing w:line="360" w:lineRule="auto"/>
        <w:ind w:firstLine="1134"/>
        <w:jc w:val="both"/>
        <w:rPr>
          <w:lang w:val="es-AR" w:eastAsia="es-AR" w:bidi="es-AR"/>
        </w:rPr>
      </w:pPr>
      <w:r>
        <w:rPr>
          <w:lang w:val="es-AR" w:eastAsia="es-AR" w:bidi="es-AR"/>
        </w:rPr>
        <w:t xml:space="preserve">Por su parte, considera que con lo resuelto se lo priva de cobrar sus acreencias mediante la vía del juicio ejecutivo, y se fomenta la mala fe de los consumidores.-</w:t>
      </w:r>
    </w:p>
    <w:p>
      <w:pPr>
        <w:pStyle w:val="[Normal]"/>
        <w:spacing w:line="360" w:lineRule="auto"/>
        <w:ind w:firstLine="1134"/>
        <w:jc w:val="both"/>
        <w:rPr>
          <w:lang w:val="es-AR" w:eastAsia="es-AR" w:bidi="es-AR"/>
        </w:rPr>
      </w:pPr>
      <w:r>
        <w:rPr>
          <w:lang w:val="es-AR" w:eastAsia="es-AR" w:bidi="es-AR"/>
        </w:rPr>
        <w:t xml:space="preserve">En consecuencia, solicita se revoque el decisorio atacado.-</w:t>
      </w:r>
    </w:p>
    <w:p>
      <w:pPr>
        <w:pStyle w:val="[Normal]"/>
        <w:spacing w:line="360" w:lineRule="auto"/>
        <w:ind w:firstLine="1134"/>
        <w:jc w:val="both"/>
        <w:rPr>
          <w:lang w:val="es-AR" w:eastAsia="es-AR" w:bidi="es-AR"/>
        </w:rPr>
      </w:pPr>
      <w:r>
        <w:rPr>
          <w:lang w:val="es-AR" w:eastAsia="es-AR" w:bidi="es-AR"/>
        </w:rPr>
        <w:t xml:space="preserve">Desestimada la revocatoria, el a-quo concede la apelación subsidiariamente interpuesta y elevados los autos a esta Alzada en fecha 16/07/2020 pasan a resolver, providencia que hallándose firme deja la causa en condiciones de ser fallada.    </w:t>
      </w:r>
    </w:p>
    <w:p>
      <w:pPr>
        <w:pStyle w:val="[Normal]"/>
        <w:spacing w:line="360" w:lineRule="auto"/>
        <w:ind w:firstLine="1134"/>
        <w:jc w:val="both"/>
        <w:rPr>
          <w:lang w:val="es-AR" w:eastAsia="es-AR" w:bidi="es-AR"/>
        </w:rPr>
      </w:pPr>
      <w:r>
        <w:rPr>
          <w:lang w:val="es-AR" w:eastAsia="es-AR" w:bidi="es-AR"/>
        </w:rPr>
        <w:t xml:space="preserve">He tenido oportunidad de expedirme en la materia, en causas anteriores -N° 3646 RSD 111/2019, 3654 RSD 112/2019 y 3902 RSD 100/2020-, partiendo de la debida armonización que es menester procurar entre los ordenamientos que rigen la materia cambiaria y consumeril. Así, cuando es comprobada la relación de consumo en que se da el libramiento de un instrumento abstracto de crédito, en su ejecución habrán de compatibilizarse la regla que veda el análisis y discusión causal, con el sistema de protección al consumidor previsto en la LDC. Es decir, que el análisis del negocio en cuyo marco se librare, ha de ser necesario para verificar el cumplimiento del art. 36 de la ley 24.240.</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rFonts w:ascii="Arial" w:hAnsi="Arial" w:eastAsia="Arial" w:cs="Arial"/>
          <w:i/>
          <w:sz w:val="24"/>
          <w:lang w:val="es-AR" w:eastAsia="es-AR" w:bidi="es-AR"/>
        </w:rPr>
      </w:pPr>
      <w:r>
        <w:rPr>
          <w:rFonts w:ascii="Arial" w:hAnsi="Arial" w:eastAsia="Arial" w:cs="Arial"/>
          <w:sz w:val="24"/>
          <w:lang w:val="es-AR" w:eastAsia="es-AR" w:bidi="es-AR"/>
        </w:rPr>
        <w:t xml:space="preserve">Hice referencia en aquellas ocasiones al criterio de la Cámara de Apelación de Azul, que en el acuerdo plenario de fecha 9/3/17 -autos “HSBC Bank Argentina c/ Pardo Cristian D. s/Cobro Ejecutivo“-, expresó por mayoría que </w:t>
      </w:r>
      <w:r>
        <w:rPr>
          <w:rFonts w:ascii="Arial" w:hAnsi="Arial" w:eastAsia="Arial" w:cs="Arial"/>
          <w:i/>
          <w:sz w:val="24"/>
          <w:lang w:val="es-AR" w:eastAsia="es-AR" w:bidi="es-AR"/>
        </w:rPr>
        <w:t xml:space="preserve">“El pagaré de consumo puede integrarse con documentación adicional relativa al negocio causal, dentro del mismo juicio ejecutivo, conformando un título complejo que deberá contener información clara y veraz y además cumplir con los requisitos previstos en el art. 36 de la LDC para las operaciones de financiación o crédito para el consumo... En lo que respecta a su oportunidad procesal, la integración de la cartular debe realizarse respetando el derecho de defensa del consumidor, la bilateralidad del proceso y el principio de congruencia (arts. 15 de la Const. provincial; 34 inc. 5, 163 inc. 6, 529, 542 ss. y cdtes. del Código Procesal) Por ello, la documental adicional debe acompañarse en Primera Instancia teniendo como límite el dictado de la sentencia definitiva, oportunidad en que el Juez debe analizar la habilidad del título, sin que se admita su integración en la alzada" </w:t>
      </w:r>
      <w:r>
        <w:rPr>
          <w:rFonts w:ascii="Arial" w:hAnsi="Arial" w:eastAsia="Arial" w:cs="Arial"/>
          <w:sz w:val="24"/>
          <w:lang w:val="es-AR" w:eastAsia="es-AR" w:bidi="es-AR"/>
        </w:rPr>
        <w:t xml:space="preserve">y de la Cámara Segunda de Apelación de la Plata, Sala 1, causa N°120271 RSD 221/16: </w:t>
      </w:r>
      <w:r>
        <w:rPr>
          <w:rFonts w:ascii="Arial" w:hAnsi="Arial" w:eastAsia="Arial" w:cs="Arial"/>
          <w:i/>
          <w:sz w:val="24"/>
          <w:lang w:val="es-AR" w:eastAsia="es-AR" w:bidi="es-AR"/>
        </w:rPr>
        <w:t xml:space="preserve">“El pagaré de consumo debe integrarse con la información requerida por el art. 36 ya que ello hace a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sentencia, lo cual impone permitir que el ejecutante integre el título con la documentación respectiva, ello en virtud de la falta de regulación legislativa expresa y en aras del principio de seguridad jurídica (art. 42 C.N., 38 Const. Prov.; 1.2.36 y 65 LDC; 34 inc. 5, 384, 529 y 549 del CPCC).”</w:t>
      </w:r>
    </w:p>
    <w:p>
      <w:pPr>
        <w:pStyle w:val="Normal"/>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spacing w:after="0" w:line="360" w:lineRule="auto"/>
        <w:ind w:firstLine="1134"/>
        <w:jc w:val="both"/>
        <w:rPr>
          <w:lang w:val="es-AR" w:eastAsia="es-AR" w:bidi="es-AR"/>
        </w:rPr>
      </w:pPr>
      <w:r>
        <w:rPr>
          <w:rFonts w:ascii="Arial" w:hAnsi="Arial" w:eastAsia="Arial" w:cs="Arial"/>
          <w:sz w:val="24"/>
          <w:lang w:val="es-AR" w:eastAsia="es-AR" w:bidi="es-AR"/>
        </w:rPr>
        <w:t xml:space="preserve">Y resulta decisivo en la tarea de arribar a una solución armonizante de las normativas aplicables, que permita la compatibilización de los derechos del consumidor pero asimismo la tutela del crédito, el reciente fallo de la SCBA, citado por esta Alzada en los precedentes arriba mencionados, en el que el Superior Tribunal expresó: "</w:t>
      </w:r>
      <w:r>
        <w:rPr>
          <w:rFonts w:ascii="Arial" w:hAnsi="Arial" w:eastAsia="Arial" w:cs="Arial"/>
          <w:i/>
          <w:sz w:val="24"/>
          <w:lang w:val="es-AR" w:eastAsia="es-AR" w:bidi="es-AR"/>
        </w:rPr>
        <w:t xml:space="preserve">En ese plano de congruencia sistemática es claro que la aplicabilidad de la LDC flexibiliza el andamiaje por el que discurre la pretensión ejecutiva, con respeto de los principios de bilateralidad y defensa en juicio (arts. 18, Const. nac.; 15, Const. prov.; 34 inc. 5 apdo. "c" y 36 inc. 2 y concs., CPCC) Como también lo es que en situaciones como las ventiladas en esta causa la indagación en los aspectos sustanciales (del negocio jurídico extracambiario) se corresponde con el postulado señalado y pone a resguardo los derechos informativos que amparan al consumidor (art. 42, Const. nac.) De tal suerte, en el ejercicio de las atribuciones que le confiere el ordenamiento procesal (arg. arts. 34 inc. 5 apdo. "c" y 36 inc. 2 y concs., CPCC), el juez puede encuadrar el asunto como una relación de consumo a fin de subsumirlo en el art. 36 de la LDC. Para expedirse sobre la viabilidad de la demanda ejecutiva le es dable examinar los instrumentos complementarios al pagaré que oportunamente hubiese acompañado el ejecutante. Si el título en cuestión, integrado de tal modo o bien autonómamente, satisface las exigencias legales previstas en el estatuto del consumidor, podrá dar curso a la ejecución. Ello claro está, sin desmedro del derecho del ejecutado de articular defensas, incluso centradas en el mencionado art. 36, tendientes a neutralizar la procedencia de la acción."  </w:t>
      </w:r>
      <w:r>
        <w:rPr>
          <w:rFonts w:ascii="Arial" w:hAnsi="Arial" w:eastAsia="Arial" w:cs="Arial"/>
          <w:sz w:val="24"/>
          <w:lang w:val="es-AR" w:eastAsia="es-AR" w:bidi="es-AR"/>
        </w:rPr>
        <w:t xml:space="preserve">(Causa C. 121.684, "Asociación Mutual Asís contra Cubilla, María Ester. Cobro ejecutivo" de fecha 14/08/19). 		Debo acotar que el Tribunal Superior rechazó en tal caso el recurso de inaplicabilidad interpuesto por el Fiscal General actuante contra el decisorio de Cámara que revocaba el de primera instancia en cuanto resolvía que el pagaré no era ejecutable dado el contrato que le había servido de causa- préstamo para consumo- pues no aparecían satisfechos en el mismo los requisitos de la LDC y mandaba a tramitar proceso sumario. La Alzada entendió que el contrato de solicitud de préstamo que lo complementa, establecía los términos y condiciones correspondientes al crédito, y tuvo por cumplidos los recaudos de la mencionada ley, disponiendo la preparación de la vía ejecutiva, tal como resolvió en la especie el Juzgador primero.</w:t>
      </w:r>
    </w:p>
    <w:p>
      <w:pPr>
        <w:pStyle w:val="[Normal]"/>
        <w:spacing w:line="360" w:lineRule="auto"/>
        <w:ind w:firstLine="850"/>
        <w:jc w:val="both"/>
        <w:rPr>
          <w:lang w:val="es-AR" w:eastAsia="es-AR" w:bidi="es-AR"/>
        </w:rPr>
      </w:pPr>
      <w:r>
        <w:rPr>
          <w:lang w:val="es-AR" w:eastAsia="es-AR" w:bidi="es-AR"/>
        </w:rPr>
        <w:t xml:space="preserve">Entiendo que dado el alcance de los agravios expuestos en la instancia extraordinaria desde la óptica del ejecutado -que partían de considerar vulnerado el régimen que ampara a los consumidores y afirmaba que de tal modo se creaba pretorianamente un título ejecutivo complejo no previsto en la regulación procesal (art. 521 COCC), criticando que a los fines de la habilidad del título, se haya integrado el pagaré de consumo con el contrato que le sirvió de causa-, el Superior Tribunal se expidió a ese respecto, partiendo de la necesidad de sopesar la concurrencia de distintos textos normativos, armonizando sus reglas y principios, concluyendo que el pagaré, cuando tiene su raíz en un vínculo jurídico alcanzado por el art. 36 de la ley 24.240, puede ser integrado con los documentos que instrumentan el negocio causal.</w:t>
      </w:r>
    </w:p>
    <w:p>
      <w:pPr>
        <w:pStyle w:val="[Normal]"/>
        <w:spacing w:line="360" w:lineRule="auto"/>
        <w:ind w:firstLine="1134"/>
        <w:jc w:val="both"/>
        <w:rPr>
          <w:lang w:val="es-AR" w:eastAsia="es-AR" w:bidi="es-AR"/>
        </w:rPr>
      </w:pPr>
      <w:r>
        <w:rPr>
          <w:lang w:val="es-AR" w:eastAsia="es-AR" w:bidi="es-AR"/>
        </w:rPr>
        <w:t xml:space="preserve">El fallo de la Corte sienta doctrina legal en ese orden al rechazar el recurso extraordinario del Ministerio Público. El Tribunal expresamente señaló que ello era menester dadas las diferencias interpretativas existentes entre los distintos órganos jurisdiccionales de alzada de la Provincia (punto IV.4.c) Pero soy de opinión que tal doctrina no se extiende a la exigencia de preparación de la vía ejecutiva dispuesta en ese caso pues ello se enrola ya en la forma que el Juez puede escoger para efectivizar la constatación del cumplimiento de la LDC, cuestión no tratada expresamente por el Superior luego de concluir, frente al agravio fiscal centrado en la improcedencia de la mentada integración, que ésta corresponde, no habiendo mediado por lo demás, recurso del ejecutante.</w:t>
      </w:r>
    </w:p>
    <w:p>
      <w:pPr>
        <w:pStyle w:val="[Normal]"/>
        <w:spacing w:line="360" w:lineRule="auto"/>
        <w:ind w:firstLine="1134"/>
        <w:jc w:val="both"/>
        <w:rPr>
          <w:i/>
          <w:lang w:val="es-AR" w:eastAsia="es-AR" w:bidi="es-AR"/>
        </w:rPr>
      </w:pPr>
      <w:r>
        <w:rPr>
          <w:lang w:val="es-AR" w:eastAsia="es-AR" w:bidi="es-AR"/>
        </w:rPr>
        <w:t xml:space="preserve">Y apuntalo mi interpretación, en la consideración efectuada en el fallo (últ. párr. punto IV.6.a.) al referir a lo decidido por la Cámara, </w:t>
      </w:r>
      <w:r>
        <w:rPr>
          <w:i/>
          <w:lang w:val="es-AR" w:eastAsia="es-AR" w:bidi="es-AR"/>
        </w:rPr>
        <w:t xml:space="preserve">"Ese modo de obrar, que cabe juzgar aquí en el marco de lo resuelto por el a quo y de los agravios articulados ante esta Corte, no contraviene los parámetros interpretativos antes mencionados." </w:t>
      </w:r>
    </w:p>
    <w:p>
      <w:pPr>
        <w:pStyle w:val="[Normal]"/>
        <w:spacing w:line="360" w:lineRule="auto"/>
        <w:ind w:firstLine="1134"/>
        <w:jc w:val="both"/>
        <w:rPr>
          <w:lang w:val="es-AR" w:eastAsia="es-AR" w:bidi="es-AR"/>
        </w:rPr>
      </w:pPr>
      <w:r>
        <w:rPr>
          <w:lang w:val="es-AR" w:eastAsia="es-AR" w:bidi="es-AR"/>
        </w:rPr>
        <w:t xml:space="preserve">Analizado lo anterior, he de proponer al acuerdo que el recurso en tratamiento sea recibido y se revoque la decisión del Juez primero en la que intima al ejecutado a efectuar el reconocimiento que determina el art. 523 inc. 1 del CPCC.</w:t>
      </w:r>
    </w:p>
    <w:p>
      <w:pPr>
        <w:pStyle w:val="[Normal]"/>
        <w:spacing w:line="360" w:lineRule="auto"/>
        <w:ind w:firstLine="1134"/>
        <w:jc w:val="both"/>
        <w:rPr>
          <w:lang w:val="es-AR" w:eastAsia="es-AR" w:bidi="es-AR"/>
        </w:rPr>
      </w:pPr>
      <w:r>
        <w:rPr>
          <w:lang w:val="es-AR" w:eastAsia="es-AR" w:bidi="es-AR"/>
        </w:rPr>
        <w:t xml:space="preserve">El art. 36 de la ley de defensa al consumidor impone la exigencia de que en las respectivas operaciones se consignen expresa y claramente determinados datos que tienen por finalidad posibilitar el control de las cláusulas contractuales en tanto de resultar abusivas, pueden ser declaradas ineficaces (art. 37) El ejecutante acompañó la documentación complementaria dirigida a satisfacer lo dispuesto en la normativa de consumo y corresponde entonces verificar tal extremo -sin que ello importe la necesidad de requerir reconocimiento de firma de la ejecutada en la documental accesoria traída-, para, en su caso, dar curso a la ejecución librando el correspondiente mandamiento de intimación de pago y citación de venta.</w:t>
      </w:r>
    </w:p>
    <w:p>
      <w:pPr>
        <w:pStyle w:val="[Normal]"/>
        <w:spacing w:line="360" w:lineRule="auto"/>
        <w:ind w:firstLine="1134"/>
        <w:jc w:val="both"/>
        <w:rPr>
          <w:i/>
          <w:lang w:val="es-AR" w:eastAsia="es-AR" w:bidi="es-AR"/>
        </w:rPr>
      </w:pPr>
      <w:r>
        <w:rPr>
          <w:lang w:val="es-AR" w:eastAsia="es-AR" w:bidi="es-AR"/>
        </w:rPr>
        <w:t xml:space="preserve">Con dicho criterio ha decidido la Sala Primera de la Cámara Segunda de La Plata, causa 123337 RSD 74/2018,</w:t>
      </w:r>
      <w:r>
        <w:rPr>
          <w:i/>
          <w:lang w:val="es-AR" w:eastAsia="es-AR" w:bidi="es-AR"/>
        </w:rPr>
        <w:t xml:space="preserve"> </w:t>
      </w:r>
      <w:r>
        <w:rPr>
          <w:lang w:val="es-AR" w:eastAsia="es-AR" w:bidi="es-AR"/>
        </w:rPr>
        <w:t xml:space="preserve">voto del Dr. Sosa Aubone,</w:t>
      </w:r>
      <w:r>
        <w:rPr>
          <w:i/>
          <w:lang w:val="es-AR" w:eastAsia="es-AR" w:bidi="es-AR"/>
        </w:rPr>
        <w:t xml:space="preserve"> "...corresponde que en la instancia de origen se decida acerca de la suficiencia de la documentación accesoria adjuntada y en su caso dar curso a la ejecución librando el correspondiente mandamiento de intimación al pago y citación de venta, o en su caso declarar la inhabilidad del título y consecuente rechazo de la acción intentada, resultando innecesario citar a la ejecutada a reconocer la firma inserta en la misma, pues -como se dijo- lo que aquí se pretende ejecutar es el pagaré -título ejecutivo conforme lo normado por el art. 521 inc. 5to del CPCC- y no el contrato de mutuo".</w:t>
      </w:r>
    </w:p>
    <w:p>
      <w:pPr>
        <w:pStyle w:val="[Normal]"/>
        <w:spacing w:line="360" w:lineRule="auto"/>
        <w:ind w:firstLine="1134"/>
        <w:jc w:val="both"/>
        <w:rPr>
          <w:lang w:val="es-AR" w:eastAsia="es-AR" w:bidi="es-AR"/>
        </w:rPr>
      </w:pPr>
      <w:r>
        <w:rPr>
          <w:lang w:val="es-AR" w:eastAsia="es-AR" w:bidi="es-AR"/>
        </w:rPr>
        <w:t xml:space="preserve">Finalmente, considero apropiado remarcar que esta tesitura no ha sido modificada por la sentencia dictada por la Corte Provincial en la causa </w:t>
      </w:r>
      <w:r>
        <w:rPr>
          <w:i/>
          <w:lang w:val="es-AR" w:eastAsia="es-AR" w:bidi="es-AR"/>
        </w:rPr>
        <w:t xml:space="preserve">"Recupero On Line S.A. C/ Vera Jose Roberto S/ Cobro Ejecutivo"</w:t>
      </w:r>
      <w:r>
        <w:rPr>
          <w:lang w:val="es-AR" w:eastAsia="es-AR" w:bidi="es-AR"/>
        </w:rPr>
        <w:t xml:space="preserve"> de fecha 18/09/2019. De la resolución aludida no se desprende la necesaria exigibilidad de la preparación de la vía ejecutiva en orden a la ejecución del pagaré de consumo, sino simplemente la facultad judicial de requerir el acompañamiento de la documentación a través de la vía procesal pertinente en caso de que hubiese sido omitida (cuestión que no ha ocurrido en autos toda vez que la documentación ha sido oportunamente acompañada) Y aún cuando ello no fuera así, el aludido requerimiento previo está sujeto a la estimación judicial del magistrado, de manera que esta Cámara como instancia revisora bien podría diferir respecto de la valoración efectuada por el aquo. En virtud de ello, entiendo que del citado fallo no puede inferirse que la preparación de la vía ejecutiva en el supuesto del pagaré de consumo integrado constituya una condición de cumplimiento inexcusable para dar trámite a la pretensión ejecutiva.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la Sra. Jueza Graciela Scaraffía votó en el igual sentido que el Sr. Juez Roberto Degleue y por idénticos fundamentos.</w:t>
      </w:r>
    </w:p>
    <w:p>
      <w:pPr>
        <w:pStyle w:val="[Normal]"/>
        <w:spacing w:line="360" w:lineRule="auto"/>
        <w:ind w:firstLine="1134"/>
        <w:jc w:val="both"/>
        <w:rPr>
          <w:lang w:val="es-AR" w:eastAsia="es-AR" w:bidi="es-AR"/>
        </w:rPr>
      </w:pPr>
      <w:r>
        <w:rPr>
          <w:lang w:val="es-AR" w:eastAsia="es-AR" w:bidi="es-AR"/>
        </w:rPr>
        <w:t xml:space="preserve">Por su parte, el señor Bernardo Louise votó en disidencia y dijo:</w:t>
      </w:r>
    </w:p>
    <w:p>
      <w:pPr>
        <w:pStyle w:val="[Normal]"/>
        <w:spacing w:line="360" w:lineRule="auto"/>
        <w:ind w:firstLine="1134"/>
        <w:jc w:val="both"/>
        <w:rPr>
          <w:lang w:val="es-AR" w:eastAsia="es-AR" w:bidi="es-AR"/>
        </w:rPr>
      </w:pPr>
      <w:r>
        <w:rPr>
          <w:lang w:val="es-AR" w:eastAsia="es-AR" w:bidi="es-AR"/>
        </w:rPr>
        <w:t xml:space="preserve">Disiento respecto a la solución conferida a la presente causa por mi colega preopinante.</w:t>
      </w:r>
    </w:p>
    <w:p>
      <w:pPr>
        <w:pStyle w:val="[Normal]"/>
        <w:spacing w:line="360" w:lineRule="auto"/>
        <w:ind w:firstLine="1134"/>
        <w:jc w:val="both"/>
        <w:rPr>
          <w:b/>
          <w:lang w:val="es-AR" w:eastAsia="es-AR" w:bidi="es-AR"/>
        </w:rPr>
      </w:pPr>
      <w:r>
        <w:rPr>
          <w:lang w:val="es-AR" w:eastAsia="es-AR" w:bidi="es-AR"/>
        </w:rPr>
        <w:t xml:space="preserve">En efecto, en el trámite de los autos  caratulados "Torres, Omar Antonio s/ Cobro Ejecutivo", expediente N° 3890 del 21 de  julio  de 2020, ampliado luego en los autos N° 3885, me expedí en relación a la necesidad de la preparación de la vía ejecutiva en relación a la</w:t>
      </w:r>
      <w:r>
        <w:rPr>
          <w:b/>
          <w:lang w:val="es-AR" w:eastAsia="es-AR" w:bidi="es-AR"/>
        </w:rPr>
        <w:t xml:space="preserve"> </w:t>
      </w:r>
      <w:r>
        <w:rPr>
          <w:lang w:val="es-AR" w:eastAsia="es-AR" w:bidi="es-AR"/>
        </w:rPr>
        <w:t xml:space="preserve">documentación acompañada al pagaré. A fin de evitar reiteraciones innecesarias me</w:t>
      </w:r>
      <w:r>
        <w:rPr>
          <w:b/>
          <w:lang w:val="es-AR" w:eastAsia="es-AR" w:bidi="es-AR"/>
        </w:rPr>
        <w:t xml:space="preserve"> </w:t>
      </w:r>
      <w:r>
        <w:rPr>
          <w:lang w:val="es-AR" w:eastAsia="es-AR" w:bidi="es-AR"/>
        </w:rPr>
        <w:t xml:space="preserve">remito en un todo a lo allí expuesto y por ello concluyo que corresponde confirmar el auto apelado.</w:t>
      </w:r>
    </w:p>
    <w:p>
      <w:pPr>
        <w:pStyle w:val="[Normal]"/>
        <w:spacing w:line="360" w:lineRule="auto"/>
        <w:ind w:firstLine="1134"/>
        <w:jc w:val="both"/>
        <w:rPr>
          <w:lang w:val="es-AR" w:eastAsia="es-AR" w:bidi="es-AR"/>
        </w:rPr>
      </w:pPr>
      <w:r>
        <w:rPr>
          <w:lang w:val="es-AR" w:eastAsia="es-AR" w:bidi="es-AR"/>
        </w:rPr>
        <w:t xml:space="preserve">Finalmente, entiendo que tratándose de un proceso concerniente a la defensa de los derechos de usuarios y consumidores conforme lo advierte en este acto, antes del dictado de sentencia que resuelve sobre el fondo del asunto, corresponde dar vista al Ministerio Fiscal de acuerdo con los argumentos que fueran expresados en su voto en la causa N° 3852-20   caratulada "Salituri, Esteban Nicolás c/ Telecom Personal S.A. S/ Daños y Perj. Incump. Contractual (Exc. Estado)".</w:t>
      </w:r>
    </w:p>
    <w:p>
      <w:pPr>
        <w:pStyle w:val="[Normal]"/>
        <w:spacing w:line="360" w:lineRule="auto"/>
        <w:ind w:firstLine="1134"/>
        <w:jc w:val="both"/>
        <w:rPr>
          <w:lang w:val="es-AR" w:eastAsia="es-AR" w:bidi="es-AR"/>
        </w:rPr>
      </w:pPr>
      <w:r>
        <w:rPr>
          <w:lang w:val="es-AR" w:eastAsia="es-AR" w:bidi="es-AR"/>
        </w:rPr>
        <w:t xml:space="preserve">En virtud de lo expuesto, corresponde confirmar la decisión adoptada en la instancia de origen y rechazar la apelación subsidiaria.</w:t>
      </w:r>
    </w:p>
    <w:p>
      <w:pPr>
        <w:pStyle w:val="[Normal]"/>
        <w:spacing w:line="360" w:lineRule="auto"/>
        <w:ind w:firstLine="1134"/>
        <w:jc w:val="both"/>
        <w:rPr>
          <w:b/>
          <w:lang w:val="es-AR" w:eastAsia="es-AR" w:bidi="es-AR"/>
        </w:rPr>
      </w:pPr>
      <w:r>
        <w:rPr>
          <w:lang w:val="es-AR" w:eastAsia="es-AR" w:bidi="es-AR"/>
        </w:rPr>
        <w:t xml:space="preserve">Por las razones dadas, citas legales de referencia y con el alcance indicado, Voto por la afirmativa.-</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w:t>
      </w:r>
    </w:p>
    <w:p>
      <w:pPr>
        <w:pStyle w:val="[Normal]"/>
        <w:spacing w:line="360" w:lineRule="auto"/>
        <w:ind w:firstLine="1134"/>
        <w:jc w:val="both"/>
        <w:rPr>
          <w:lang w:val="es-AR" w:eastAsia="es-AR" w:bidi="es-AR"/>
        </w:rPr>
      </w:pPr>
      <w:r>
        <w:rPr>
          <w:lang w:val="es-AR" w:eastAsia="es-AR" w:bidi="es-AR"/>
        </w:rPr>
        <w:t xml:space="preserve">De conformidad al resultado habido al tratarse la cuestión precedente, estimo que el pronunciamiento que corresponde dictar por mayoría es: </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Graciela Scaraffía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1) Hacer lugar al recurso interpuesto y en su mérito revocar la providencia apelada, debiendo el Juzgador de origen decidir respecto de la suficiencia o no de la documentación adjuntada a los fines del cumplimiento de la LDC y en su caso dar curso a la ejecución librando el correspondiente mandamiento de intimación de pago y citación de venta o declarar la inhabilidad de los títulos cuya ejecución se pretende y el consecuente rechazo de la acción intentada (arts. 521 inc. 5 y ccs. CPCC; 36 y ccs. ley 24.240).</w:t>
      </w:r>
    </w:p>
    <w:p>
      <w:pPr>
        <w:pStyle w:val="[Normal]"/>
        <w:spacing w:line="360" w:lineRule="auto"/>
        <w:ind w:firstLine="1134"/>
        <w:jc w:val="both"/>
        <w:rPr>
          <w:lang w:val="es-AR" w:eastAsia="es-AR" w:bidi="es-AR"/>
        </w:rPr>
      </w:pPr>
      <w:r>
        <w:rPr>
          <w:lang w:val="es-AR" w:eastAsia="es-AR" w:bidi="es-AR"/>
        </w:rPr>
        <w:t xml:space="preserve">2) Sin costas por no mediar oposición y resultar ajeno el motivo de la apelación respecto del obrar de la contraria (conf. arts. 68 2da parte, 289 y arg. art. 298 del C.P.C.C. y SCBA, "B. , M. V. contra D. , J.M. . Incidente de alimentos", causa C. 117.807, 1 de abril de 2015).</w:t>
      </w:r>
    </w:p>
    <w:p>
      <w:pPr>
        <w:pStyle w:val="[Normal]"/>
        <w:spacing w:line="360" w:lineRule="auto"/>
        <w:ind w:firstLine="1134"/>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09:46:53 -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10:06:46 -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10:15:11 -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22/10/2020 10:39:54 - Luis Maria Bianco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‰8x")è$}heXŠ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248802090004937269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Calibri">
    <w:panose1 w:val="020F0502020204030204"/>
    <w:charset w:val="00"/>
    <w:family w:val="swiss"/>
    <w:pitch w:val="variable"/>
    <w:sig w:usb0="E4002EFF" w:usb1="C000247B" w:usb2="00000009" w:usb3="00000000" w:csb0="200001FF"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‰8x")è$}heXŠ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248802090004937269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Normal">
    <w:name w:val="Normal"/>
    <w:next w:val="Normal"/>
    <w:qFormat/>
    <w:pPr>
      <w:widowControl w:val="on"/>
      <w:shd w:val="clear" w:color="auto" w:fill="auto"/>
      <w:spacing w:before="0" w:after="160" w:line="259" w:lineRule="auto"/>
      <w:ind w:left="0" w:right="0" w:firstLine="0"/>
      <w:jc w:val="left"/>
    </w:pPr>
    <w:rPr>
      <w:rFonts w:ascii="Calibri" w:hAnsi="Calibri" w:eastAsia="Calibri" w:cs="Calibri"/>
      <w:b w:val="off"/>
      <w:bCs w:val="off"/>
      <w:i w:val="off"/>
      <w:iCs w:val="off"/>
      <w:strike w:val="off"/>
      <w:color w:val="auto"/>
      <w:position w:val="0"/>
      <w:sz w:val="22"/>
      <w:szCs w:val="22"/>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