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146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935/938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15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3992-20</w:t>
      </w:r>
      <w:r>
        <w:rPr>
          <w:lang w:val="es-AR" w:eastAsia="es-AR" w:bidi="es-AR"/>
        </w:rPr>
        <w:t xml:space="preserve"> caratulada </w:t>
      </w:r>
      <w:r>
        <w:rPr>
          <w:b/>
          <w:lang w:val="es-AR" w:eastAsia="es-AR" w:bidi="es-AR"/>
        </w:rPr>
        <w:t xml:space="preserve">"</w:t>
      </w:r>
      <w:r>
        <w:rPr>
          <w:b/>
          <w:color w:val="000000"/>
          <w:lang w:val="es-AR" w:eastAsia="es-AR" w:bidi="es-AR"/>
        </w:rPr>
        <w:t xml:space="preserve">CFN S.A.  C/ PASTRANA ANIBAL FABIAN S/ COBRO EJECUTIVO</w:t>
      </w:r>
      <w:r>
        <w:rPr>
          <w:b/>
          <w:lang w:val="es-AR" w:eastAsia="es-AR" w:bidi="es-AR"/>
        </w:rPr>
        <w:t xml:space="preserve">"</w:t>
      </w:r>
      <w:r>
        <w:rPr>
          <w:lang w:val="es-AR" w:eastAsia="es-AR" w:bidi="es-AR"/>
        </w:rPr>
        <w:t xml:space="preserve">, Expte. N° 63084 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Graciela Scaraffia, Bernardo Louise,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sede falló rechazando la presente ejecución e impuso las costas a la parte actora. Reguló honorarios al apoderado de la parte actora, Dr. </w:t>
      </w:r>
      <w:r>
        <w:rPr>
          <w:color w:val="000000"/>
          <w:lang w:val="es-AR" w:eastAsia="es-AR" w:bidi="es-AR"/>
        </w:rPr>
        <w:t xml:space="preserve">Pablo M. Theiler</w:t>
      </w:r>
      <w:r>
        <w:rPr>
          <w:b/>
          <w:i/>
          <w:u w:val="single"/>
          <w:lang w:val="es-AR" w:eastAsia="es-AR" w:bidi="es-AR"/>
        </w:rPr>
        <w:t xml:space="preserve">.-</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Dicho decisorio fue objeto del recurso de apelación interpuesto por la actora mediante escrito electrónico de fecha  30/07/2020 concedido en relación con fecha 31/07/2020. </w:t>
      </w:r>
    </w:p>
    <w:p>
      <w:pPr>
        <w:pStyle w:val="[Normal]"/>
        <w:spacing w:line="360" w:lineRule="auto"/>
        <w:ind w:firstLine="1134"/>
        <w:jc w:val="both"/>
        <w:rPr>
          <w:lang w:val="es-AR" w:eastAsia="es-AR" w:bidi="es-AR"/>
        </w:rPr>
      </w:pPr>
      <w:r>
        <w:rPr>
          <w:lang w:val="es-AR" w:eastAsia="es-AR" w:bidi="es-AR"/>
        </w:rPr>
        <w:t xml:space="preserve">El 6/8/2020 se llama autos para resolver, providencia que firme a la fecha deja la causa en condiciones de ser fallada.</w:t>
      </w:r>
    </w:p>
    <w:p>
      <w:pPr>
        <w:pStyle w:val="[Normal]"/>
        <w:spacing w:line="360" w:lineRule="auto"/>
        <w:ind w:firstLine="1134"/>
        <w:jc w:val="both"/>
        <w:rPr>
          <w:rFonts w:ascii="Times New Roman" w:hAnsi="Times New Roman" w:eastAsia="Times New Roman" w:cs="Times New Roman"/>
          <w:lang w:val="es-AR" w:eastAsia="es-AR" w:bidi="es-AR"/>
        </w:rPr>
      </w:pPr>
      <w:r>
        <w:rPr>
          <w:lang w:val="es-AR" w:eastAsia="es-AR" w:bidi="es-AR"/>
        </w:rPr>
        <w:t xml:space="preserve">Para  resolver lo como lo hizo, el Sr. Juez a-quo tuvo en cuenta la documentación acompañada en demanda, lo  allí expuesto y en base a las máximas de la experiencia advirtió que el ejecutado realizó pagos parciales y dijo además </w:t>
      </w:r>
      <w:r>
        <w:rPr>
          <w:i/>
          <w:lang w:val="es-AR" w:eastAsia="es-AR" w:bidi="es-AR"/>
        </w:rPr>
        <w:t xml:space="preserve">" ... teniendo en cuenta que el ejecutante no ha sido claro -atento lo dicho en los párrafos anteriores- en cuanto a la o las fechas en que habría recibido el o los pagos, habré de concluir que el pagaré base de esta ejecución, resulta inhábil...".</w:t>
      </w:r>
    </w:p>
    <w:p>
      <w:pPr>
        <w:pStyle w:val="[Normal]"/>
        <w:spacing w:line="360" w:lineRule="auto"/>
        <w:ind w:firstLine="1134"/>
        <w:jc w:val="both"/>
        <w:rPr>
          <w:rFonts w:ascii="Times New Roman" w:hAnsi="Times New Roman" w:eastAsia="Times New Roman" w:cs="Times New Roman"/>
          <w:lang w:val="es-AR" w:eastAsia="es-AR" w:bidi="es-AR"/>
        </w:rPr>
      </w:pPr>
      <w:r>
        <w:rPr>
          <w:lang w:val="es-AR" w:eastAsia="es-AR" w:bidi="es-AR"/>
        </w:rPr>
        <w:t xml:space="preserve">En sustento de su crítica recursiva, la parte apelante adujo </w:t>
      </w:r>
      <w:r>
        <w:rPr>
          <w:lang w:val="es-AR" w:eastAsia="es-AR" w:bidi="es-AR"/>
        </w:rPr>
        <w:t xml:space="preserve">en lo principal que como consecuencia de la cláusula de caducidad de plazos puede ejecutarse la totalidad de la deuda, por cuanto en virtud de ella se ha torna </w:t>
      </w:r>
      <w:r>
        <w:rPr>
          <w:rStyle w:val="STRONG"/>
          <w:b w:val="off"/>
          <w:lang w:val="es-AR" w:eastAsia="es-AR" w:bidi="es-AR"/>
        </w:rPr>
        <w:t xml:space="preserve">exigible la obligación en su integridad como si fuera de plazo vencido</w:t>
      </w:r>
      <w:r>
        <w:rPr>
          <w:rStyle w:val="EM"/>
          <w:i w:val="off"/>
          <w:lang w:val="es-AR" w:eastAsia="es-AR" w:bidi="es-AR"/>
        </w:rPr>
        <w:t xml:space="preserve">. A lo que agregó que si no media una tasa de interés abusiva o excesiva -como entiende que fuera en la especie-, el juez debe dar trámite a la ejecución por el capital y los accesorios.</w:t>
      </w:r>
    </w:p>
    <w:p>
      <w:pPr>
        <w:pStyle w:val="[Normal]"/>
        <w:spacing w:line="360" w:lineRule="auto"/>
        <w:ind w:firstLine="1134"/>
        <w:jc w:val="both"/>
        <w:rPr>
          <w:lang w:val="es-AR" w:eastAsia="es-AR" w:bidi="es-AR"/>
        </w:rPr>
      </w:pPr>
      <w:r>
        <w:rPr>
          <w:lang w:val="es-AR" w:eastAsia="es-AR" w:bidi="es-AR"/>
        </w:rPr>
        <w:t xml:space="preserve">Entrando a resolver, anticipo que no le asiste razón al apelante en la crítica recursiva dirigida contra la sentencia apelada.	</w:t>
        <w:br w:type="textWrapping"/>
      </w:r>
      <w:r>
        <w:rPr>
          <w:lang w:val="es-AR" w:eastAsia="es-AR" w:bidi="es-AR"/>
        </w:rPr>
        <w:t xml:space="preserve">	</w:t>
      </w:r>
      <w:r>
        <w:rPr>
          <w:color w:val="000000"/>
          <w:lang w:val="es-AR" w:eastAsia="es-AR" w:bidi="es-AR"/>
        </w:rPr>
        <w:t xml:space="preserve">Es que atento a la naturaleza jurídica de la obligación y a la aplicación del marco jurídico consumeril, corresponde aquí aplicar el criterio sostenido por este Tribunal en la causa </w:t>
      </w:r>
      <w:r>
        <w:rPr>
          <w:lang w:val="es-AR" w:eastAsia="es-AR" w:bidi="es-AR"/>
        </w:rPr>
        <w:t xml:space="preserve">en la causa N° 3680-19 (sentencia del 19 de Noviembre de 2019) en la que sostuvo que: </w:t>
      </w:r>
      <w:r>
        <w:rPr>
          <w:i/>
          <w:lang w:val="es-AR" w:eastAsia="es-AR" w:bidi="es-AR"/>
        </w:rPr>
        <w:t xml:space="preserve">“el cumplimiento de los requisitos de forma exigidos por la ley cambiaria como los recaudos informativos del art. 36 de la LDC configuran una condición necesaria más no suficiente para la procedencia de la vía ejecutiva. Amén de ello, es preciso que el título que traiga aparejada ejecución se demandare por obligación exigible de dar cantidades de líquidas de dinero o fácilmente liquidables”</w:t>
      </w:r>
      <w:r>
        <w:rPr>
          <w:lang w:val="es-AR" w:eastAsia="es-AR" w:bidi="es-AR"/>
        </w:rPr>
        <w:t xml:space="preserve">.	</w:t>
        <w:br w:type="textWrapping"/>
      </w:r>
      <w:r>
        <w:rPr>
          <w:lang w:val="es-AR" w:eastAsia="es-AR" w:bidi="es-AR"/>
        </w:rPr>
        <w:t xml:space="preserve"> 	En virtud de lo expuesto, resulta ajustado a derecho el razonamiento del Juez de grado en el sentido de que la falta de precisión de la fecha del pago a cuenta, sus montos e imputación a capital e intereses imposibilitaron el cálculo de lo adeudado. Tal observación deviene razonable por cuanto la incertidumbre correspondiente a las circunstancias temporales del pago parcial repercute sobre los alcances de la mora del deudor y en forma derivada en el cómputo de los intereses adeudados (art. 768 del CCyC).	</w:t>
        <w:br w:type="textWrapping"/>
      </w:r>
      <w:r>
        <w:rPr>
          <w:lang w:val="es-AR" w:eastAsia="es-AR" w:bidi="es-AR"/>
        </w:rPr>
        <w:t xml:space="preserve"> 	Dicho de otro modo, la imposibilidad de determinar el momento de un pago parcial </w:t>
      </w:r>
      <w:r>
        <w:rPr>
          <w:i/>
          <w:lang w:val="es-AR" w:eastAsia="es-AR" w:bidi="es-AR"/>
        </w:rPr>
        <w:t xml:space="preserve">"dificulta"</w:t>
      </w:r>
      <w:r>
        <w:rPr>
          <w:lang w:val="es-AR" w:eastAsia="es-AR" w:bidi="es-AR"/>
        </w:rPr>
        <w:t xml:space="preserve"> la liquidación de la deuda. No es ocioso recordar en tal aspecto que un crédito es líquido cuando se encuentra definido en su cuantía de suerte que se sabe lo que se debe. Y resulta fácilmente liquidable cuando deviene determinable en su cuantía mediante sencillas operaciones aritméticas o a través de la revisión simple de libros (PIZARRO, Ramón Daniel, VALLESPINOS, Gustavo Carlos, Instituciones de Derecho Privado Obligaciones, Tomo III, Buenos Aires, Ed. Hammurabi, 2007, pag. 541).	</w:t>
        <w:br w:type="textWrapping"/>
      </w:r>
      <w:r>
        <w:rPr>
          <w:lang w:val="es-AR" w:eastAsia="es-AR" w:bidi="es-AR"/>
        </w:rPr>
        <w:t xml:space="preserve"> 	Es evidente que en la especie dado los términos en que fuera presentada la demanda, la definición de la cuantía final de la deuda no pudo abastecerse con simples cálculos o cotejos documentales, sino que exigía abrir una investigación de hecho para determinar el momento exacto del pago o los pagos parciales realizados por el demandado, lo que por otra parte excede el marco cognoscitivo acotado del juicio ejecutivo. 	</w:t>
        <w:br w:type="textWrapping"/>
      </w:r>
      <w:r>
        <w:rPr>
          <w:lang w:val="es-AR" w:eastAsia="es-AR" w:bidi="es-AR"/>
        </w:rPr>
        <w:t xml:space="preserve"> 	El mencionado déficit postulatorio adquiere especial relevancia en la solución del caso, toda vez que el pretenso ejecutante de un título ejecutivo tiene la carga de precisar todas aquellas circunstancias fácticas y jurídicas que resulten condicionantes de los requisitos de viabilidad del cobro ejecutivo. Uno de esos requisitos es el carácter líquido o fácilmente liquidable de la deuda objeto del juicio ejecutivo cuya debida observancia exige que de haber mediado pagos parciales se aclare el tiempo y el monto por el que hubiesen sido efectuados.	</w:t>
        <w:br w:type="textWrapping"/>
      </w:r>
      <w:r>
        <w:rPr>
          <w:lang w:val="es-AR" w:eastAsia="es-AR" w:bidi="es-AR"/>
        </w:rPr>
        <w:t xml:space="preserve"> 	En esta tónica, la Cámara de Apelaciones en lo Civil y Comercial de San Nicolás ha remarcado la relación de interdependencia lógica entre la carga postulatoria de las partes y el principio de congruencia procesal</w:t>
      </w:r>
      <w:r>
        <w:rPr>
          <w:i/>
          <w:lang w:val="es-AR" w:eastAsia="es-AR" w:bidi="es-AR"/>
        </w:rPr>
        <w:t xml:space="preserve">: "La sentencia ha de formularse de acuerdo a las constancias de la causa, conforme las acciones deducidas y los hechos alegados por las partes, por lo que se entiende que viola el principio de congruencia aquel fallo que decide sobre la pretensión del actor fundado en hechos ajenos a los alegados en la demanda. Introducir cuestiones, hechos o alegaciones sorpresivamente, de manera que las partes no hayan podido ejercer su plena defensa implica una clara violación al principio de congruencia y a la garantía de defensa en juicio"</w:t>
      </w:r>
      <w:r>
        <w:rPr>
          <w:lang w:val="es-AR" w:eastAsia="es-AR" w:bidi="es-AR"/>
        </w:rPr>
        <w:t xml:space="preserve"> (Cámara de Apelaciones de San Nicolás, "Lanza, Valentina c/ Chamorro, Marcos Rodrigo y otros s/ Daños y Perjuicios", 04/04/2019).	</w:t>
        <w:br w:type="textWrapping"/>
      </w:r>
      <w:r>
        <w:rPr>
          <w:lang w:val="es-AR" w:eastAsia="es-AR" w:bidi="es-AR"/>
        </w:rPr>
        <w:t xml:space="preserve"> 	El requisito aludido no acarrea un juicio definitivo sobre la existencia de la obligación adeudada en el título ejecutivo, sino tan sólo implica que el reclamo del cobro del crédito por dicha vía no resulta procedente. Es por ello que la decisión propuesta no supone limitación y menos aún derogación de la abstracción cambiaria, puesto que la modificación de la sentencia que aquí propicio gira en torno a un requisito de procedencia de la vía ejecutiva y no respecto a la existencia de la obligación subyacente en la relación jurídica material de fondo.	</w:t>
      </w:r>
    </w:p>
    <w:p>
      <w:pPr>
        <w:pStyle w:val="[Normal]"/>
        <w:spacing w:line="360" w:lineRule="auto"/>
        <w:ind w:firstLine="1134"/>
        <w:jc w:val="both"/>
        <w:rPr>
          <w:lang w:val="es-AR" w:eastAsia="es-AR" w:bidi="es-AR"/>
        </w:rPr>
      </w:pPr>
      <w:r>
        <w:rPr>
          <w:lang w:val="es-AR" w:eastAsia="es-AR" w:bidi="es-AR"/>
        </w:rPr>
        <w:t xml:space="preserve">Por último, considero que no resulta atendible el argumento desplegado por la parte actora en el sentido de que la cláusula de caducidad de plazos haría posible prescindir de la determinación de las circunstancias temporales y objetivas correspondientes a los pagos parciales realizados. Es que la pretensión de desconocer el efecto parcialmente cancelatorio de esta clase de pago con su consecuente impacto reductor sobre los intereses que devengue la obligación, aún cuando pueda ser operativo en el marco de relaciones jurídicas paritarias, no lo es en el ámbito del consumidor. Esto se debe a que dicha disposición importaría una cláusula abusiva por cuanto restringe los derechos del consumidor y amplía los de la otra parte (art. 37 inc. b), habida cuenta de que le impediría al tomador del crédito beneficiarse de los efectos morigerantes de la cancelación parcial del capital adeudado sobre los accesorios a devengarse.</w:t>
      </w:r>
    </w:p>
    <w:p>
      <w:pPr>
        <w:pStyle w:val="[Normal]"/>
        <w:spacing w:line="360" w:lineRule="auto"/>
        <w:ind w:firstLine="1134"/>
        <w:jc w:val="both"/>
        <w:rPr>
          <w:lang w:val="es-AR" w:eastAsia="es-AR" w:bidi="es-AR"/>
        </w:rPr>
      </w:pPr>
      <w:r>
        <w:rPr>
          <w:lang w:val="es-AR" w:eastAsia="es-AR" w:bidi="es-AR"/>
        </w:rPr>
        <w:t xml:space="preserve">En virtud de los motivos expuestos, entiendo que corresponde rechazar el recurso de apelación interpuesto por la parte actora y confirmar la sentencia de trance y remate dictada con fecha 24/7/2020.	</w:t>
        <w:br w:type="textWrapping"/>
      </w:r>
      <w:r>
        <w:rPr>
          <w:lang w:val="es-AR" w:eastAsia="es-AR" w:bidi="es-AR"/>
        </w:rPr>
        <w:t xml:space="preserve"> 	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	</w:t>
        <w:br w:type="textWrapping"/>
      </w:r>
      <w:r>
        <w:rPr>
          <w:lang w:val="es-AR" w:eastAsia="es-AR" w:bidi="es-AR"/>
        </w:rPr>
        <w:t xml:space="preserve">	A la misma cuestión la Sra. Jueza Graciela Scaraffía votó por análogos fundamentos en el mismo sentido que el señor Juez Roberto Degleue.	</w:t>
        <w:br w:type="textWrapping"/>
      </w:r>
      <w:r>
        <w:rPr>
          <w:lang w:val="es-AR" w:eastAsia="es-AR" w:bidi="es-AR"/>
        </w:rPr>
        <w:t xml:space="preserve"> 	A la misma cuestión el Sr. Juez Bernardo Louise votó en disidencia y dijo:</w:t>
      </w:r>
    </w:p>
    <w:p>
      <w:pPr>
        <w:pStyle w:val="[Normal]"/>
        <w:spacing w:line="360" w:lineRule="auto"/>
        <w:ind w:firstLine="1134"/>
        <w:jc w:val="both"/>
        <w:rPr>
          <w:lang w:val="es-AR" w:eastAsia="es-AR" w:bidi="es-AR"/>
        </w:rPr>
      </w:pPr>
      <w:r>
        <w:rPr>
          <w:lang w:val="es-AR" w:eastAsia="es-AR" w:bidi="es-AR"/>
        </w:rPr>
        <w:t xml:space="preserve">Entrando a resolver, anticipo que no comparto los motivos expresados por el a quo  y tampoco he de coincidir con el criterio empleado por mis distinguidos colegas preopinantes.	</w:t>
      </w:r>
    </w:p>
    <w:p>
      <w:pPr>
        <w:pStyle w:val="[Normal]"/>
        <w:spacing w:line="360" w:lineRule="auto"/>
        <w:ind w:firstLine="1134"/>
        <w:jc w:val="both"/>
        <w:rPr>
          <w:lang w:val="es-AR" w:eastAsia="es-AR" w:bidi="es-AR"/>
        </w:rPr>
      </w:pPr>
      <w:r>
        <w:rPr>
          <w:lang w:val="es-AR" w:eastAsia="es-AR" w:bidi="es-AR"/>
        </w:rPr>
        <w:t xml:space="preserve">Conforme lo sostuve en mi voto en disidencia expresado en la causa 3971 en sentencia de fecha 3 de Septiembre de 2020, si al momento de despacharse la ejecución el Juez advierte que la suma a ejecutar en el pagaré (denunciados pagos parciales) no es líquida o fácilmente liquidable, entiendo que lo ajustado no es rechazar la procedencia de la ejecución –como propician mis colegas preopinantes- ni hacerla prosperar por la totalidad del capital reclamado -como pretende el actor-, sino más bien diferir el tratamiento de dichos accesorios para la oportunidad del dictado de la sentencia y por ello corresponde tomar como monto del reclamo la suma del capital surgente del contrato.	</w:t>
      </w:r>
    </w:p>
    <w:p>
      <w:pPr>
        <w:pStyle w:val="[Normal]"/>
        <w:spacing w:line="360" w:lineRule="auto"/>
        <w:ind w:firstLine="1134"/>
        <w:jc w:val="both"/>
        <w:rPr>
          <w:lang w:val="es-AR" w:eastAsia="es-AR" w:bidi="es-AR"/>
        </w:rPr>
      </w:pPr>
      <w:r>
        <w:rPr>
          <w:lang w:val="es-AR" w:eastAsia="es-AR" w:bidi="es-AR"/>
        </w:rPr>
        <w:t xml:space="preserve">Así lo dijo nuestro Superior Tribunal Provincial en la causa " Asociación Mutual Asís contra Cubilla, María Ester. Cobro ejecutivo" de fecha 14/08/19, C. 121.684 ) que venimos referenciando: </w:t>
      </w:r>
      <w:r>
        <w:rPr>
          <w:i/>
          <w:lang w:val="es-AR" w:eastAsia="es-AR" w:bidi="es-AR"/>
        </w:rPr>
        <w:t xml:space="preserve">" ... En el asunto a dirimir, tras inspeccionar el contrato de solicitud de préstamo (mutuo) que complementa al pagaré, la Cámara de Apelación valoró que merced a la integración de ambos documentos se cumplía con el art. 36 de la LDC. Por tal motivo desglosó del reclamo el monto del capital que surgía de dicho contrato y supeditó el pronunciamiento acerca de los intereses -rubro susceptible de revisión en caso de abuso o desproporción, art. 771, Código Civil y Comercial- para la oportunidad del dictado de la sentencia...".</w:t>
      </w:r>
      <w:r>
        <w:rPr>
          <w:lang w:val="es-AR" w:eastAsia="es-AR" w:bidi="es-AR"/>
        </w:rPr>
        <w:br w:type="textWrapping"/>
      </w:r>
      <w:r>
        <w:rPr>
          <w:lang w:val="es-AR" w:eastAsia="es-AR" w:bidi="es-AR"/>
        </w:rPr>
        <w:t xml:space="preserve"> 	Ello a mi ver, es por derecho el camino que correspondía transitar. En efecto, como el llamado </w:t>
      </w:r>
      <w:r>
        <w:rPr>
          <w:i/>
          <w:lang w:val="es-AR" w:eastAsia="es-AR" w:bidi="es-AR"/>
        </w:rPr>
        <w:t xml:space="preserve">" pagaré de consumo "</w:t>
      </w:r>
      <w:r>
        <w:rPr>
          <w:lang w:val="es-AR" w:eastAsia="es-AR" w:bidi="es-AR"/>
        </w:rPr>
        <w:t xml:space="preserve"> es un titulo complejo que se integra o  puede ser integrado y frente a ello el Juzgador luego  de examinar los títulos constitutivos, el cumplimiento del art. 36 de la Ley de Consumo podía despachar la ejecución del pagaré o del mutuo.Así, si entendió  que el monto del pagaré, la suma no era líquida o fácilmente liquidable, podía examinar el documento base y de observar cumplidos los recaudos de la Ley del consumo podía iniciar la ejecución del monto neto y postergar el tema de los intereses para su oportunidad. Así en el mismo fallo que venimos señalando se siguió diciendo: </w:t>
      </w:r>
      <w:r>
        <w:rPr>
          <w:i/>
          <w:lang w:val="es-AR" w:eastAsia="es-AR" w:bidi="es-AR"/>
        </w:rPr>
        <w:t xml:space="preserve">"De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autónomamente, satisface las exigencias legales prescriptas en el estatuto del consumidor, podrá dar curso a la ejecución. Ello, claro está, sin desmedro del derecho del ejecutado de articular defensas, incluso centradas en el mencionado art. 36, tendientes a neutralizar la procedencia de la acción..."</w:t>
      </w:r>
      <w:r>
        <w:rPr>
          <w:lang w:val="es-AR" w:eastAsia="es-AR" w:bidi="es-AR"/>
        </w:rPr>
        <w:t xml:space="preserve"> ( SCBA. c: 121.684 cit.).	</w:t>
        <w:br w:type="textWrapping"/>
      </w:r>
      <w:r>
        <w:rPr>
          <w:lang w:val="es-AR" w:eastAsia="es-AR" w:bidi="es-AR"/>
        </w:rPr>
        <w:t xml:space="preserve"> 	Ello es lo que a mi ver correspondía conforme la normativa de la Ley de Consumo, como del antecedente jurisprudencial citado y no cercenar el acceso a la jurisdicción.	</w:t>
        <w:br w:type="textWrapping"/>
      </w:r>
      <w:r>
        <w:rPr>
          <w:lang w:val="es-AR" w:eastAsia="es-AR" w:bidi="es-AR"/>
        </w:rPr>
        <w:t xml:space="preserve"> 	En suma,  considero que el monto por el que se ha de despachar la ejecución debe ser el  surgente  del  contrato de mutuo y en el  momento procesal que corresponda, se debe practicar liquidación de  los intereses pactados,  y deducir los pagos parciales, todo ello sujeto al control de la parte o de la jurisdicción.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Scaraffia y Bernardo Louise y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Regístrese. Notifíquese. Devuélvase.-</w:t>
      </w:r>
    </w:p>
    <w:p>
      <w:pPr>
        <w:pStyle w:val="[Normal]"/>
        <w:spacing w:line="360" w:lineRule="auto"/>
        <w:ind w:firstLine="1134"/>
        <w:jc w:val="both"/>
        <w:rPr>
          <w:rFonts w:ascii="Times New Roman" w:hAnsi="Times New Roman" w:eastAsia="Times New Roman" w:cs="Times New Roman"/>
          <w:lang w:val="es-AR" w:eastAsia="es-AR" w:bidi="es-AR"/>
        </w:rPr>
      </w:pPr>
    </w:p>
    <w:p>
      <w:pPr>
        <w:pStyle w:val="[Normal]"/>
        <w:spacing w:line="360" w:lineRule="auto"/>
        <w:ind w:firstLine="1134"/>
        <w:jc w:val="both"/>
        <w:rPr>
          <w:rFonts w:ascii="Times New Roman" w:hAnsi="Times New Roman" w:eastAsia="Times New Roman" w:cs="Times New Roman"/>
          <w:lang w:val="es-AR" w:eastAsia="es-AR" w:bidi="es-AR"/>
        </w:rPr>
      </w:pPr>
    </w:p>
    <w:p>
      <w:pPr>
        <w:pStyle w:val="[Normal]"/>
        <w:rPr>
          <w:rFonts w:ascii="Times New Roman" w:hAnsi="Times New Roman" w:eastAsia="Times New Roman" w:cs="Times New Roman"/>
          <w:lang w:val="es-AR" w:eastAsia="es-AR" w:bidi="es-AR"/>
        </w:rPr>
      </w:pPr>
      <w:r>
        <w:rPr>
          <w:rFonts w:ascii="Times New Roman" w:hAnsi="Times New Roman" w:eastAsia="Times New Roman" w:cs="Times New Roman"/>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09:38:04 -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09:47:06 -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10:19:22 -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15/10/2020 13:26:45 -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‰7‚")è$ÀNS&lt;Š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239802090004954651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‰7‚")è$ÀNS&lt;Š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239802090004954651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character" w:styleId="U">
    <w:name w:val="U"/>
    <w:qFormat/>
    <w:rPr>
      <w:u w:val="single"/>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