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rPr>
          <w:lang w:val="es-AR" w:eastAsia="es-AR" w:bidi="es-AR"/>
        </w:rPr>
      </w:pPr>
    </w:p>
    <w:p>
      <w:pPr>
        <w:pStyle w:val="[Normal]"/>
        <w:spacing w:line="360" w:lineRule="auto"/>
        <w:ind w:firstLine="1134"/>
        <w:rPr>
          <w:lang w:val="es-AR" w:eastAsia="es-AR" w:bidi="es-AR"/>
        </w:rPr>
      </w:pPr>
      <w:r>
        <w:rPr>
          <w:b/>
          <w:lang w:val="es-AR" w:eastAsia="es-AR" w:bidi="es-AR"/>
        </w:rPr>
        <w:t xml:space="preserve">Registro N° 153 /</w:t>
      </w:r>
      <w:r>
        <w:rPr>
          <w:b/>
          <w:color w:val="000000"/>
          <w:lang w:val="es-AR" w:eastAsia="es-AR" w:bidi="es-AR"/>
        </w:rPr>
        <w:t xml:space="preserve">2020</w:t>
      </w:r>
      <w:r>
        <w:rPr>
          <w:color w:val="000000"/>
          <w:lang w:val="es-AR" w:eastAsia="es-AR" w:bidi="es-AR"/>
        </w:rPr>
        <w:t xml:space="preserve"> </w:t>
      </w:r>
    </w:p>
    <w:p>
      <w:pPr>
        <w:pStyle w:val="[Normal]"/>
        <w:spacing w:line="360" w:lineRule="auto"/>
        <w:ind w:firstLine="1134"/>
        <w:jc w:val="both"/>
        <w:rPr>
          <w:lang w:val="es-AR" w:eastAsia="es-AR" w:bidi="es-AR"/>
        </w:rPr>
      </w:pPr>
      <w:r>
        <w:rPr>
          <w:b/>
          <w:lang w:val="es-AR" w:eastAsia="es-AR" w:bidi="es-AR"/>
        </w:rPr>
        <w:t xml:space="preserve">Fojas 969/974</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22 de Octubre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3999-20</w:t>
      </w:r>
      <w:r>
        <w:rPr>
          <w:lang w:val="es-AR" w:eastAsia="es-AR" w:bidi="es-AR"/>
        </w:rPr>
        <w:t xml:space="preserve"> caratulada </w:t>
      </w:r>
      <w:r>
        <w:rPr>
          <w:b/>
          <w:lang w:val="es-AR" w:eastAsia="es-AR" w:bidi="es-AR"/>
        </w:rPr>
        <w:t xml:space="preserve">"</w:t>
      </w:r>
      <w:r>
        <w:rPr>
          <w:b/>
          <w:color w:val="000000"/>
          <w:lang w:val="es-AR" w:eastAsia="es-AR" w:bidi="es-AR"/>
        </w:rPr>
        <w:t xml:space="preserve">CFN S.A.  C/ CEJAS MARCELO ALBERTO S/ COBRO EJECUTIVO</w:t>
      </w:r>
      <w:r>
        <w:rPr>
          <w:b/>
          <w:lang w:val="es-AR" w:eastAsia="es-AR" w:bidi="es-AR"/>
        </w:rPr>
        <w:t xml:space="preserve">"</w:t>
      </w:r>
      <w:r>
        <w:rPr>
          <w:lang w:val="es-AR" w:eastAsia="es-AR" w:bidi="es-AR"/>
        </w:rPr>
        <w:t xml:space="preserve">, Expte. N° </w:t>
      </w:r>
      <w:r>
        <w:rPr>
          <w:color w:val="000000"/>
          <w:lang w:val="es-AR" w:eastAsia="es-AR" w:bidi="es-AR"/>
        </w:rPr>
        <w:t xml:space="preserve">63469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Roberto Manuel Degleue, Bernardo Louise, Graciela Scaraffia, y estudiados los autos se resolvió  plantear y votar las siguientes: </w:t>
      </w:r>
    </w:p>
    <w:p>
      <w:pPr>
        <w:pStyle w:val="[Normal]"/>
        <w:spacing w:line="360" w:lineRule="auto"/>
        <w:ind w:firstLine="1134"/>
        <w:jc w:val="both"/>
        <w:rPr>
          <w:lang w:val="es-AR" w:eastAsia="es-AR" w:bidi="es-AR"/>
        </w:rPr>
      </w:pPr>
      <w:r>
        <w:rPr>
          <w:b/>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 Juez de la anterior sede rechazó la presente ejecución, con costas (Art. 556 del C.P.C.). Reguló honorarios al letrado de la parte actora, Dr. </w:t>
      </w:r>
      <w:r>
        <w:rPr>
          <w:color w:val="000000"/>
          <w:lang w:val="es-AR" w:eastAsia="es-AR" w:bidi="es-AR"/>
        </w:rPr>
        <w:t xml:space="preserve">Theiler Pablo M.</w:t>
      </w:r>
      <w:r>
        <w:rPr>
          <w:lang w:val="es-AR" w:eastAsia="es-AR" w:bidi="es-AR"/>
        </w:rPr>
        <w:t xml:space="preserve"> en la suma de cuatro Jus (</w:t>
      </w:r>
      <w:r>
        <w:rPr>
          <w:i/>
          <w:u w:val="single"/>
          <w:lang w:val="es-AR" w:eastAsia="es-AR" w:bidi="es-AR"/>
        </w:rPr>
        <w:t xml:space="preserve">4,00</w:t>
      </w:r>
      <w:r>
        <w:rPr>
          <w:lang w:val="es-AR" w:eastAsia="es-AR" w:bidi="es-AR"/>
        </w:rPr>
        <w:t xml:space="preserve"> jus) (Arts. 21 Ley 14.967).</w:t>
      </w:r>
    </w:p>
    <w:p>
      <w:pPr>
        <w:pStyle w:val="[Normal]"/>
        <w:spacing w:line="360" w:lineRule="auto"/>
        <w:ind w:firstLine="1134"/>
        <w:jc w:val="both"/>
        <w:rPr>
          <w:lang w:val="es-AR" w:eastAsia="es-AR" w:bidi="es-AR"/>
        </w:rPr>
      </w:pPr>
      <w:r>
        <w:rPr>
          <w:lang w:val="es-AR" w:eastAsia="es-AR" w:bidi="es-AR"/>
        </w:rPr>
        <w:t xml:space="preserve">Para así resolver, el a quo expresó que </w:t>
      </w:r>
      <w:r>
        <w:rPr>
          <w:color w:val="000000"/>
          <w:lang w:val="es-AR" w:eastAsia="es-AR" w:bidi="es-AR"/>
        </w:rPr>
        <w:t xml:space="preserve">como el ejecutante no fue claro en cuanto a la o las fechas en que habría recibido el o los pagos parciales, el pagaré base de la ejecución resultó inhábil atento a la imposibilidad de calcular lo adeudado.</w:t>
      </w:r>
    </w:p>
    <w:p>
      <w:pPr>
        <w:pStyle w:val="[Normal]"/>
        <w:spacing w:line="360" w:lineRule="auto"/>
        <w:ind w:firstLine="1134"/>
        <w:jc w:val="both"/>
        <w:rPr>
          <w:lang w:val="es-AR" w:eastAsia="es-AR" w:bidi="es-AR"/>
        </w:rPr>
      </w:pPr>
      <w:r>
        <w:rPr>
          <w:lang w:val="es-AR" w:eastAsia="es-AR" w:bidi="es-AR"/>
        </w:rPr>
        <w:t xml:space="preserve">Tal decisorio fue objeto del recurso de apelación por parte de la actora mediante el escrito electrónico de fecha 30/07/2020, concedido en relación y con efectos suspensivo el día 4/08/2020. Con fecha 11/08/2020 se dicta el llamamiento de autos, providencia, que firme a la fecha deja la causa en condiciones de ser fallada.	</w:t>
        <w:br w:type="textWrapping"/>
      </w:r>
      <w:r>
        <w:rPr>
          <w:lang w:val="es-AR" w:eastAsia="es-AR" w:bidi="es-AR"/>
        </w:rPr>
        <w:t xml:space="preserve"> 	En sustento de su crítica recursiva, el apelante sostuvo que la </w:t>
      </w:r>
      <w:r>
        <w:rPr>
          <w:rStyle w:val="U"/>
          <w:u w:val="none"/>
          <w:lang w:val="es-AR" w:eastAsia="es-AR" w:bidi="es-AR"/>
        </w:rPr>
        <w:t xml:space="preserve">falta de pago</w:t>
      </w:r>
      <w:r>
        <w:rPr>
          <w:rStyle w:val="EM"/>
          <w:i w:val="off"/>
          <w:lang w:val="es-AR" w:eastAsia="es-AR" w:bidi="es-AR"/>
        </w:rPr>
        <w:t xml:space="preserve"> de los intereses o de cualquier amortización de capital -como ocurrió en la especie- </w:t>
      </w:r>
      <w:r>
        <w:rPr>
          <w:rStyle w:val="U"/>
          <w:u w:val="none"/>
          <w:lang w:val="es-AR" w:eastAsia="es-AR" w:bidi="es-AR"/>
        </w:rPr>
        <w:t xml:space="preserve">da derecho</w:t>
      </w:r>
      <w:r>
        <w:rPr>
          <w:rStyle w:val="EM"/>
          <w:i w:val="off"/>
          <w:lang w:val="es-AR" w:eastAsia="es-AR" w:bidi="es-AR"/>
        </w:rPr>
        <w:t xml:space="preserve"> al mutuante a </w:t>
      </w:r>
      <w:r>
        <w:rPr>
          <w:rStyle w:val="U"/>
          <w:u w:val="none"/>
          <w:lang w:val="es-AR" w:eastAsia="es-AR" w:bidi="es-AR"/>
        </w:rPr>
        <w:t xml:space="preserve">resolver el contrato</w:t>
      </w:r>
      <w:r>
        <w:rPr>
          <w:rStyle w:val="EM"/>
          <w:i w:val="off"/>
          <w:lang w:val="es-AR" w:eastAsia="es-AR" w:bidi="es-AR"/>
        </w:rPr>
        <w:t xml:space="preserve"> y a </w:t>
      </w:r>
      <w:r>
        <w:rPr>
          <w:rStyle w:val="U"/>
          <w:u w:val="none"/>
          <w:lang w:val="es-AR" w:eastAsia="es-AR" w:bidi="es-AR"/>
        </w:rPr>
        <w:t xml:space="preserve">exigir la devolución de la totalidad de lo prestado</w:t>
      </w:r>
      <w:r>
        <w:rPr>
          <w:rStyle w:val="EM"/>
          <w:i w:val="off"/>
          <w:lang w:val="es-AR" w:eastAsia="es-AR" w:bidi="es-AR"/>
        </w:rPr>
        <w:t xml:space="preserve">, </w:t>
      </w:r>
      <w:r>
        <w:rPr>
          <w:rStyle w:val="U"/>
          <w:u w:val="none"/>
          <w:lang w:val="es-AR" w:eastAsia="es-AR" w:bidi="es-AR"/>
        </w:rPr>
        <w:t xml:space="preserve">más sus intereses</w:t>
      </w:r>
      <w:r>
        <w:rPr>
          <w:rStyle w:val="EM"/>
          <w:i w:val="off"/>
          <w:lang w:val="es-AR" w:eastAsia="es-AR" w:bidi="es-AR"/>
        </w:rPr>
        <w:t xml:space="preserve"> hasta la efectiva restitución. Si el mutuo es gratuito, después del incumplimiento, se deben intereses moratorios. Si el mutuo es oneroso a falta de convención sobre los mismos intereses, rige lo dispuesto para las obligaciones de dar sumas de dinero.</w:t>
      </w:r>
      <w:r>
        <w:rPr>
          <w:lang w:val="es-AR" w:eastAsia="es-AR" w:bidi="es-AR"/>
        </w:rPr>
        <w:t xml:space="preserve"> En consecuencia, puntualiza que cuando en el transcurso del contrato se produzca un incumplimiento del mutuario, devendrá la posibilidad de la extinción a partir de la resolución. 	</w:t>
        <w:br w:type="textWrapping"/>
      </w:r>
      <w:r>
        <w:rPr>
          <w:lang w:val="es-AR" w:eastAsia="es-AR" w:bidi="es-AR"/>
        </w:rPr>
        <w:t xml:space="preserve"> 	En virtud de ello, argumentó que el CCyCN faculta al mutuante, ante el incumplimiento, </w:t>
      </w:r>
      <w:r>
        <w:rPr>
          <w:rStyle w:val="STRONG"/>
          <w:b w:val="off"/>
          <w:lang w:val="es-AR" w:eastAsia="es-AR" w:bidi="es-AR"/>
        </w:rPr>
        <w:t xml:space="preserve">a exigir la devolución de la totalidad del capital prestado</w:t>
      </w:r>
      <w:r>
        <w:rPr>
          <w:lang w:val="es-AR" w:eastAsia="es-AR" w:bidi="es-AR"/>
        </w:rPr>
        <w:t xml:space="preserve">. Sobre esa base, afirmó que caducan, por tanto, todos los plazos y periodicidades que se hubiesen pactado en el contrato, lo que tornaría irrelevante la determinación de las circunstancias de los pagos parciales que se tuvieron por oblados.</w:t>
      </w:r>
    </w:p>
    <w:p>
      <w:pPr>
        <w:pStyle w:val="[Normal]"/>
        <w:spacing w:line="360" w:lineRule="auto"/>
        <w:ind w:firstLine="1134"/>
        <w:jc w:val="both"/>
        <w:rPr>
          <w:lang w:val="es-AR" w:eastAsia="es-AR" w:bidi="es-AR"/>
        </w:rPr>
      </w:pPr>
      <w:r>
        <w:rPr>
          <w:lang w:val="es-AR" w:eastAsia="es-AR" w:bidi="es-AR"/>
        </w:rPr>
        <w:t xml:space="preserve">El supuesto de autos es análogo al considerado por este Tribunal en la causa N° 3993/20 caratulada "CFN S.A.  C/ BENAVIDES MERCEDES DANIELA S/ COBRO EJECUTIVO", el 25 de Septiembre del 2020 -Reg. N° 129/2020-, por lo que habré de reproducir aquí, en lo pertinente, los conceptos allí desarrollados, anticipando que no le asiste razón al apelante en la crítica recursiva propiciada contra la sentencia.</w:t>
      </w:r>
    </w:p>
    <w:p>
      <w:pPr>
        <w:pStyle w:val="[Normal]"/>
        <w:spacing w:line="360" w:lineRule="auto"/>
        <w:ind w:firstLine="1134"/>
        <w:jc w:val="both"/>
        <w:rPr>
          <w:lang w:val="es-AR" w:eastAsia="es-AR" w:bidi="es-AR"/>
        </w:rPr>
      </w:pPr>
      <w:r>
        <w:rPr>
          <w:lang w:val="es-AR" w:eastAsia="es-AR" w:bidi="es-AR"/>
        </w:rPr>
        <w:t xml:space="preserve">Es que el cumplimiento de los requisitos de forma exigidos por la ley cambiaria como los recaudos informativos del art. 36 de la LDC configuran una condición necesaria más no suficiente para la procedencia de la vía ejecutiva. Amén de ello, es preciso que el título que traiga aparejada ejecución se demandare por obligación exigible de dar cantidades líquidas de dinero o fácilmente liquidables.</w:t>
      </w:r>
    </w:p>
    <w:p>
      <w:pPr>
        <w:pStyle w:val="[Normal]"/>
        <w:spacing w:line="360" w:lineRule="auto"/>
        <w:ind w:firstLine="1134"/>
        <w:jc w:val="both"/>
        <w:rPr>
          <w:lang w:val="es-AR" w:eastAsia="es-AR" w:bidi="es-AR"/>
        </w:rPr>
      </w:pPr>
      <w:r>
        <w:rPr>
          <w:lang w:val="es-AR" w:eastAsia="es-AR" w:bidi="es-AR"/>
        </w:rPr>
        <w:t xml:space="preserve">El Juez de grado justificó el rechazo de la ejecución en la inobservancia del carácter líquido o fácilmente liquidable de la obligación cambiaria, en razón de que la falta de precisión de la fecha del pago a cuenta, sus montos e imputación a capital e intereses imposibilitaron el cálculo de lo adeudado. Tal observación deviene razonable por cuanto la incertidumbre correspondiente a las circunstancias temporales del pago parcial repercute sobre los alcances de la mora del deudor y en forma derivada en el cómputo de los intereses adeudados (art. 768 del CCyC).</w:t>
      </w:r>
    </w:p>
    <w:p>
      <w:pPr>
        <w:pStyle w:val="[Normal]"/>
        <w:spacing w:line="360" w:lineRule="auto"/>
        <w:ind w:firstLine="1134"/>
        <w:jc w:val="both"/>
        <w:rPr>
          <w:lang w:val="es-AR" w:eastAsia="es-AR" w:bidi="es-AR"/>
        </w:rPr>
      </w:pPr>
      <w:r>
        <w:rPr>
          <w:lang w:val="es-AR" w:eastAsia="es-AR" w:bidi="es-AR"/>
        </w:rPr>
        <w:t xml:space="preserve">Como se ha sostenido en la causa N° </w:t>
      </w:r>
      <w:r>
        <w:rPr>
          <w:color w:val="000000"/>
          <w:lang w:val="es-AR" w:eastAsia="es-AR" w:bidi="es-AR"/>
        </w:rPr>
        <w:t xml:space="preserve">3680-19</w:t>
      </w:r>
      <w:r>
        <w:rPr>
          <w:lang w:val="es-AR" w:eastAsia="es-AR" w:bidi="es-AR"/>
        </w:rPr>
        <w:t xml:space="preserve"> (sentencia del 19 de Noviembre de 2019), la imposibilidad de determinar el momento de un pago parcial </w:t>
      </w:r>
      <w:r>
        <w:rPr>
          <w:i/>
          <w:lang w:val="es-AR" w:eastAsia="es-AR" w:bidi="es-AR"/>
        </w:rPr>
        <w:t xml:space="preserve">"dificulta"</w:t>
      </w:r>
      <w:r>
        <w:rPr>
          <w:lang w:val="es-AR" w:eastAsia="es-AR" w:bidi="es-AR"/>
        </w:rPr>
        <w:t xml:space="preserve"> la liquidación de la deuda. No es ocioso recordar en tal aspecto que un crédito es líquido cuando se encuentra definido en su cuantía de suerte que se sabe lo que se debe. Y resulta fácilmente liquidable cuando deviene determinable en su cuantía mediante sencillas operaciones aritméticas o a través de la revisión simple de libros (PIZARRO, Ramón Daniel, VALLESPINOS, Gustavo Carlos, Instituciones de Derecho Privado Obligaciones, Tomo III, Buenos Aires, Ed. Hammurabi, 2007, pag. 541).</w:t>
      </w:r>
    </w:p>
    <w:p>
      <w:pPr>
        <w:pStyle w:val="[Normal]"/>
        <w:spacing w:line="360" w:lineRule="auto"/>
        <w:ind w:firstLine="1134"/>
        <w:jc w:val="both"/>
        <w:rPr>
          <w:lang w:val="es-AR" w:eastAsia="es-AR" w:bidi="es-AR"/>
        </w:rPr>
      </w:pPr>
      <w:r>
        <w:rPr>
          <w:lang w:val="es-AR" w:eastAsia="es-AR" w:bidi="es-AR"/>
        </w:rPr>
        <w:t xml:space="preserve">Es evidente que en la especie dado los términos en que fuera presentada la demanda, la definición de la cuantía final de la deuda no pudo abastecerse con simples cálculos o cotejos documentales, sino que exigía abrir una investigación de hecho para determinar el momento exacto del pago o los pagos parciales realizados por el demandado, lo que por otra parte excede el marco cognocitivo acotado del juicio ejecutivo.</w:t>
      </w:r>
    </w:p>
    <w:p>
      <w:pPr>
        <w:pStyle w:val="[Normal]"/>
        <w:spacing w:line="360" w:lineRule="auto"/>
        <w:ind w:firstLine="1134"/>
        <w:jc w:val="both"/>
        <w:rPr>
          <w:color w:val="000000"/>
          <w:lang w:val="es-AR" w:eastAsia="es-AR" w:bidi="es-AR"/>
        </w:rPr>
      </w:pPr>
      <w:r>
        <w:rPr>
          <w:lang w:val="es-AR" w:eastAsia="es-AR" w:bidi="es-AR"/>
        </w:rPr>
        <w:t xml:space="preserve">No advierto un motivo válido de agravio en el hecho de que el Juzgador haya tenido por cierto que </w:t>
      </w:r>
      <w:r>
        <w:rPr>
          <w:color w:val="000000"/>
          <w:lang w:val="es-AR" w:eastAsia="es-AR" w:bidi="es-AR"/>
        </w:rPr>
        <w:t xml:space="preserve">el deudor fue realizando pagos a cuenta con posterioridad a la mora en que incurriera, toda vez que ello no obedeció a una suposición arbitraria, sino a una presunción hominis fundada en el curso normal de los acontecimientos como manifestación particular del sistema de la sana crítica racional (art. 384 del CPCCBA). Máxime cuando no medió una afirmación concluyente por parte del accionante respecto al momento exacto del pago y de la forma en que fuera efectuado el acto resolutorio ni ello surge claramente de la prueba obrante en la causa.</w:t>
      </w:r>
    </w:p>
    <w:p>
      <w:pPr>
        <w:pStyle w:val="[Normal]"/>
        <w:spacing w:line="360" w:lineRule="auto"/>
        <w:ind w:firstLine="1134"/>
        <w:jc w:val="both"/>
        <w:rPr>
          <w:color w:val="000000"/>
          <w:lang w:val="es-AR" w:eastAsia="es-AR" w:bidi="es-AR"/>
        </w:rPr>
      </w:pPr>
      <w:r>
        <w:rPr>
          <w:color w:val="000000"/>
          <w:lang w:val="es-AR" w:eastAsia="es-AR" w:bidi="es-AR"/>
        </w:rPr>
        <w:t xml:space="preserve">Resulta pertinente ponderar asimismo que en su expresión de agravios el recurrente volcó su crítica sobre los alcances del control judicial en relación a la habilidad del título ejecutivo como al tratamiento conferido al pagaré de consumo, más en ningún momento cuestionó la consideración del a quo según la cual el accionante no habría aclarado las circunstancias temporales del pago, lo que a la postre terminó operando como el fundamento central del rechazo de la demanda entablada.</w:t>
      </w:r>
    </w:p>
    <w:p>
      <w:pPr>
        <w:pStyle w:val="[Normal]"/>
        <w:spacing w:line="360" w:lineRule="auto"/>
        <w:ind w:firstLine="1134"/>
        <w:jc w:val="both"/>
        <w:rPr>
          <w:color w:val="000000"/>
          <w:lang w:val="es-AR" w:eastAsia="es-AR" w:bidi="es-AR"/>
        </w:rPr>
      </w:pPr>
      <w:r>
        <w:rPr>
          <w:color w:val="000000"/>
          <w:lang w:val="es-AR" w:eastAsia="es-AR" w:bidi="es-AR"/>
        </w:rPr>
        <w:t xml:space="preserve">Comparto con el Juzgador de Origen que el mencionado déficit postulatorio adquiere especial relevancia en la solución del caso, por cuanto el pretenso ejecutante de un título ejecutivo tiene la carga de precisar todas aquellas circunstancias fácticas y jurídicas que resulten condicionantes de los requisitos de viabilidad del cobro ejecutivo. Uno de esos requisitos es el carácter líquido o fácilmente liquidable de la deuda objeto del juicio ejecutivo cuya debida observancia exige que de haber mediado pagos parciales se aclare el tiempo en que hubiesen sido efectuados.</w:t>
      </w:r>
    </w:p>
    <w:p>
      <w:pPr>
        <w:pStyle w:val="[Normal]"/>
        <w:spacing w:line="360" w:lineRule="auto"/>
        <w:ind w:firstLine="1134"/>
        <w:jc w:val="both"/>
        <w:rPr>
          <w:color w:val="000000"/>
          <w:lang w:val="es-AR" w:eastAsia="es-AR" w:bidi="es-AR"/>
        </w:rPr>
      </w:pPr>
      <w:r>
        <w:rPr>
          <w:lang w:val="es-AR" w:eastAsia="es-AR" w:bidi="es-AR"/>
        </w:rPr>
        <w:t xml:space="preserve">En esta tónica, la Cámara de Apelaciones en lo Civil y Comercial de San Nicolás ha remarcado la relación de interdependencia lógica entre la carga postulatoria de las partes y el principio de congruencia procesal: </w:t>
      </w:r>
      <w:r>
        <w:rPr>
          <w:i/>
          <w:lang w:val="es-AR" w:eastAsia="es-AR" w:bidi="es-AR"/>
        </w:rPr>
        <w:t xml:space="preserve">"La sentencia ha de formularse de acuerdo a las constancias de la causa, conforme las acciones deducidas y los hechos alegados por las partes, por lo que se entiende que viola el principio de congruencia aquel fallo que decide sobre la pretensión del actor fundado en hechos ajenos a los alegados en la demanda. Introducir cuestiones, hechos o alegaciones sorpresivamente, de manera que las partes no hayan podido ejercer su plena defensa implica una clara violación al principio de congruencia y a la garantía de defensa en juicio"</w:t>
      </w:r>
      <w:r>
        <w:rPr>
          <w:lang w:val="es-AR" w:eastAsia="es-AR" w:bidi="es-AR"/>
        </w:rPr>
        <w:t xml:space="preserve"> (</w:t>
      </w:r>
      <w:r>
        <w:rPr>
          <w:color w:val="000000"/>
          <w:lang w:val="es-AR" w:eastAsia="es-AR" w:bidi="es-AR"/>
        </w:rPr>
        <w:t xml:space="preserve">Cámara de Apelaciones de San Nicolás, "Lanza, Valentina c/ Chamorro, Marcos Rodrigo y otros s/ Daños y Perjuicios", 04/04/2019).</w:t>
      </w:r>
    </w:p>
    <w:p>
      <w:pPr>
        <w:pStyle w:val="[Normal]"/>
        <w:spacing w:line="360" w:lineRule="auto"/>
        <w:ind w:firstLine="1134"/>
        <w:jc w:val="both"/>
        <w:rPr>
          <w:lang w:val="es-AR" w:eastAsia="es-AR" w:bidi="es-AR"/>
        </w:rPr>
      </w:pPr>
      <w:r>
        <w:rPr>
          <w:lang w:val="es-AR" w:eastAsia="es-AR" w:bidi="es-AR"/>
        </w:rPr>
        <w:t xml:space="preserve">El discurso crítico dirigido por el actor a tenor del cual el sentenciante primero se habría extralimitado de manera grosera en las atribuciones conferidas por el régimen protectorio de la LDC arrastra un grave desenfoque del verdadero sentido de la sentencia cuestionada. </w:t>
        <w:br w:type="textWrapping"/>
      </w:r>
      <w:r>
        <w:rPr>
          <w:lang w:val="es-AR" w:eastAsia="es-AR" w:bidi="es-AR"/>
        </w:rPr>
        <w:t xml:space="preserve"> 	Esto se debe a que el fundamento del rechazo de la acción entablada no estuvo vinculado a la violación de normas imperativas de consumo ni de una previsión normativa del régimen cambiario aplicable al pagaré, sino más bien a la inobservancia de un requisito de procedencia de la acción ejecutiva, cuál es el carácter líquido o fácilmente liquidable de la deuda reclamada (art. 518 del CPCCBA), a punto tal que la calificación del título como pagaré de consumo resulta irrelevante a los fines de la configuración del déficit  aludido. </w:t>
      </w:r>
    </w:p>
    <w:p>
      <w:pPr>
        <w:pStyle w:val="[Normal]"/>
        <w:spacing w:line="360" w:lineRule="auto"/>
        <w:ind w:firstLine="1134"/>
        <w:jc w:val="both"/>
        <w:rPr>
          <w:lang w:val="es-AR" w:eastAsia="es-AR" w:bidi="es-AR"/>
        </w:rPr>
      </w:pPr>
      <w:r>
        <w:rPr>
          <w:lang w:val="es-AR" w:eastAsia="es-AR" w:bidi="es-AR"/>
        </w:rPr>
        <w:t xml:space="preserve">El mencionado requisito no acarrea un juicio definitivo sobre la existencia de la obligación adeudada en el título ejecutivo, sino tan sólo implica que el reclamo del cobro del crédito por dicha vía no resulta procedente. Es por ello que la decisión adoptada no supuso limitación y menos aún derogación de la abstracción cambiaria, puesto que el quid del rechazo de la acción entablada giró en torno a un requisito de procedencia de la vía ejecutiva y no respecto a la existencia de la obligación subyacente en la relación jurídica material de fondo.</w:t>
      </w:r>
    </w:p>
    <w:p>
      <w:pPr>
        <w:pStyle w:val="[Normal]"/>
        <w:spacing w:line="360" w:lineRule="auto"/>
        <w:ind w:firstLine="1134"/>
        <w:jc w:val="both"/>
        <w:rPr>
          <w:lang w:val="es-AR" w:eastAsia="es-AR" w:bidi="es-AR"/>
        </w:rPr>
      </w:pPr>
      <w:r>
        <w:rPr>
          <w:lang w:val="es-AR" w:eastAsia="es-AR" w:bidi="es-AR"/>
        </w:rPr>
        <w:t xml:space="preserve">Tampoco advierto que el control efectuado por el Juez de Grado para arribar a la conclusión expuesta precedente haya excedido la órbita de sus facultades. Ello así por cuanto </w:t>
      </w:r>
      <w:r>
        <w:rPr>
          <w:color w:val="000000"/>
          <w:lang w:val="es-AR" w:eastAsia="es-AR" w:bidi="es-AR"/>
        </w:rPr>
        <w:t xml:space="preserve">el juez debe controlar el cumplimiento de los requisitos de procedencia de la pretensión procesal. Cuando dicha pretensión está dirigida al reconocimiento o ejecución de un derecho -en el caso del derecho al cobro de un título ejecutivo-, el deber del juez consistirá en controlar el cumplimiento de las condiciones formales y sustanciales a las que el ordenamiento jurídico subordina la realización de ese derecho. La alegación o no que hagan las partes respecto a los requisitos constitutivos, modificativos o extintivos de tal derecho no puede condicionar de ningún modo esta atribución inherente a la función judicial. 	</w:t>
        <w:br w:type="textWrapping"/>
      </w:r>
      <w:r>
        <w:rPr>
          <w:color w:val="000000"/>
          <w:lang w:val="es-AR" w:eastAsia="es-AR" w:bidi="es-AR"/>
        </w:rPr>
        <w:t xml:space="preserve">	De modo tal que si de las postulaciones de las partes y/o de la prueba de los hechos relativos al objeto de la litis no surgen las circunstancias fácticas vinculadas a los requisitos de procedencia del derecho pretendido, el juez deberá ser consecuente con ello en su sentencia, so riesgo de hacer lugar a una pretensión ejecutiva a sabiendas de que no cumple con las condiciones que tornan viable su acogimiento.	</w:t>
        <w:br w:type="textWrapping"/>
      </w:r>
      <w:r>
        <w:rPr>
          <w:color w:val="000000"/>
          <w:lang w:val="es-AR" w:eastAsia="es-AR" w:bidi="es-AR"/>
        </w:rPr>
        <w:t xml:space="preserve"> 	</w:t>
      </w:r>
      <w:r>
        <w:rPr>
          <w:lang w:val="es-AR" w:eastAsia="es-AR" w:bidi="es-AR"/>
        </w:rPr>
        <w:t xml:space="preserve">En el marco del juicio ejecutivo existe una razón normativa especial que habilita la intervención oficiosa del Juez de grado en el examen de la cuestión. Y es que del art. 529 del CPCCBA se desprende que constituye un deber del juez examinar cuidadosamente si el título del ejecutante reúne las condiciones jurídicas requeridas por el orden jurídico para ser susceptible de ejecución por la vía ejecutiva. Al respecto es dable recordar que media un doble examen del juzgador respecto a la regularidad y validez del título ejecutivo: al dictar el auto de solvendo (despachar el mandamiento de intimación de pago y embargo), y al pronunciar la sentencia, en cuya oportunidad puede el magistrado aun de oficio -cuando el ejecutado no haya opuesto la excepción en el art. 542, inciso 4°- hacer la declaración de inhabilidad (cf. MORELLO, Augusto Mario, SOSA, Gualberto Lucas, BERIZONCE, Roberto Omar, Códigos procesales en lo Civil y Comercial de la Provincia de Buenos Aires y de la Nación, Comentados y Anotados, Buenos Aires, Ed. Abeledo Perrot, 2015, pag. 662).</w:t>
      </w:r>
    </w:p>
    <w:p>
      <w:pPr>
        <w:pStyle w:val="[Normal]"/>
        <w:spacing w:line="360" w:lineRule="auto"/>
        <w:ind w:firstLine="1134"/>
        <w:jc w:val="both"/>
        <w:rPr>
          <w:color w:val="000000"/>
          <w:lang w:val="es-AR" w:eastAsia="es-AR" w:bidi="es-AR"/>
        </w:rPr>
      </w:pPr>
      <w:r>
        <w:rPr>
          <w:color w:val="000000"/>
          <w:lang w:val="es-AR" w:eastAsia="es-AR" w:bidi="es-AR"/>
        </w:rPr>
        <w:t xml:space="preserve">Considero que este criterio interpretativo no es incompatible con el principio de congruencia procesal, habida cuenta de que es la propia pretensión ejecutiva la que le proporciona al juez un límite suficientemente elástico para contemplar dentro de la litis todas aquellos hechos u omisiones procesales que condicionan la procedencia de lo peticionado, esto es el cumplimiento de los requisitos positivos y negativos de la pretensión actoral.</w:t>
      </w:r>
    </w:p>
    <w:p>
      <w:pPr>
        <w:pStyle w:val="[Normal]"/>
        <w:spacing w:line="360" w:lineRule="auto"/>
        <w:ind w:firstLine="1134"/>
        <w:jc w:val="both"/>
        <w:rPr>
          <w:lang w:val="es-AR" w:eastAsia="es-AR" w:bidi="es-AR"/>
        </w:rPr>
      </w:pPr>
      <w:r>
        <w:rPr>
          <w:color w:val="000000"/>
          <w:lang w:val="es-AR" w:eastAsia="es-AR" w:bidi="es-AR"/>
        </w:rPr>
        <w:t xml:space="preserve">La Corte Nacional ha expresado: </w:t>
      </w:r>
      <w:r>
        <w:rPr>
          <w:i/>
          <w:color w:val="000000"/>
          <w:lang w:val="es-AR" w:eastAsia="es-AR" w:bidi="es-AR"/>
        </w:rPr>
        <w:t xml:space="preserve">“De conformidad con la regla iura novit curia, el juzgador tiene la facultad y el deber de analizar los conflictos litigiosos y dirimirlos según el derecho vigente, calificando de modo autónomo la realidad fáctica y subsumiéndolas en las normas jurídicas que la rigen con prescindencia de los fundamentos que enuncien las partes” </w:t>
      </w:r>
      <w:r>
        <w:rPr>
          <w:color w:val="000000"/>
          <w:lang w:val="es-AR" w:eastAsia="es-AR" w:bidi="es-AR"/>
        </w:rPr>
        <w:t xml:space="preserve">(CSJN, in re </w:t>
      </w:r>
      <w:r>
        <w:rPr>
          <w:i/>
          <w:color w:val="000000"/>
          <w:lang w:val="es-AR" w:eastAsia="es-AR" w:bidi="es-AR"/>
        </w:rPr>
        <w:t xml:space="preserve">"Nación Argentina (Secretaría de Estado de Justicia) c/ S.A. Las Palmas del Chaco Austral"</w:t>
      </w:r>
      <w:r>
        <w:rPr>
          <w:color w:val="000000"/>
          <w:lang w:val="es-AR" w:eastAsia="es-AR" w:bidi="es-AR"/>
        </w:rPr>
        <w:t xml:space="preserve">. JA, T. 308, p. 778).</w:t>
      </w:r>
    </w:p>
    <w:p>
      <w:pPr>
        <w:pStyle w:val="[Normal]"/>
        <w:spacing w:line="360" w:lineRule="auto"/>
        <w:ind w:firstLine="1134"/>
        <w:jc w:val="both"/>
        <w:rPr>
          <w:rStyle w:val="U"/>
          <w:u w:val="none"/>
          <w:lang w:val="es-AR" w:eastAsia="es-AR" w:bidi="es-AR"/>
        </w:rPr>
      </w:pPr>
      <w:r>
        <w:rPr>
          <w:color w:val="000000"/>
          <w:lang w:val="es-AR" w:eastAsia="es-AR" w:bidi="es-AR"/>
        </w:rPr>
        <w:t xml:space="preserve">Finalmente he de puntualizar que la </w:t>
      </w:r>
      <w:r>
        <w:rPr>
          <w:rStyle w:val="U"/>
          <w:u w:val="none"/>
          <w:lang w:val="es-AR" w:eastAsia="es-AR" w:bidi="es-AR"/>
        </w:rPr>
        <w:t xml:space="preserve">cláusula de caducidad de los plazos</w:t>
      </w:r>
      <w:r>
        <w:rPr>
          <w:lang w:val="es-AR" w:eastAsia="es-AR" w:bidi="es-AR"/>
        </w:rPr>
        <w:t xml:space="preserve"> de la que pretende valerse el ejecutante para justificar la procedencia de la ejecución no sirve como argumento suficiente para invalidar la decisión de grado, por cuanto la </w:t>
      </w:r>
      <w:r>
        <w:rPr>
          <w:rStyle w:val="U"/>
          <w:u w:val="none"/>
          <w:lang w:val="es-AR" w:eastAsia="es-AR" w:bidi="es-AR"/>
        </w:rPr>
        <w:t xml:space="preserve">posibilidad de ejecutar la totalidad de la deuda (capital más accesorios pactados) como efecto derivado de tal disposición convencional no torna irrelevante la debida postulación y denuncia de los pagos parciales -que el a quo tuvo por realizados- por cuanto ellos deberán ser descontados ulteriormente del monto final reclamado. Con lo cual la liquidez de la deuda (y la necesidad consecuente de informar los pagos parciales realizados) continúa siendo una condición razonablemente exigible en punto a la determinación de la procedencia de la pretensión ejecutiva, no resultando admisible diferir la dilucidación de tal cuestión en la etapa de liquidación. De tal modo la inobservancia de tal recaudo justifica el rechazo de la ejecución en los términos pretendidos.</w:t>
      </w:r>
    </w:p>
    <w:p>
      <w:pPr>
        <w:pStyle w:val="[Normal]"/>
        <w:spacing w:line="360" w:lineRule="auto"/>
        <w:ind w:firstLine="1134"/>
        <w:jc w:val="both"/>
        <w:rPr>
          <w:lang w:val="es-AR" w:eastAsia="es-AR" w:bidi="es-AR"/>
        </w:rPr>
      </w:pPr>
      <w:r>
        <w:rPr>
          <w:rStyle w:val="U"/>
          <w:u w:val="none"/>
          <w:lang w:val="es-AR" w:eastAsia="es-AR" w:bidi="es-AR"/>
        </w:rPr>
        <w:t xml:space="preserve">En esta línea, la Cámara de Apelaciones en lo Civil y Comercial de La Plata ha dicho que: </w:t>
      </w:r>
      <w:r>
        <w:rPr>
          <w:rStyle w:val="U"/>
          <w:i/>
          <w:u w:val="none"/>
          <w:lang w:val="es-AR" w:eastAsia="es-AR" w:bidi="es-AR"/>
        </w:rPr>
        <w:t xml:space="preserve">"</w:t>
      </w:r>
      <w:r>
        <w:rPr>
          <w:i/>
          <w:lang w:val="es-AR" w:eastAsia="es-AR" w:bidi="es-AR"/>
        </w:rPr>
        <w:t xml:space="preserve">...se torna notoriamente injusto que se disponga seguir adelante la ejecución por una deuda que no es real y sobre ese monto se regulen honorarios a cargo del ejecutado. Resulta ilógico y antiprocesal que se admita la discusión en el acto de la liquidación (...), postergándola para una instancia ulterior con la consiguiente pérdida de tiempo que ello trae aparejado. No debe diferirse la resolución de cuestiones a etapas u oportunidades futuras, pues con ello se generan expectativas e incertidumbres contrarias al sentido de la actividad judicial..."</w:t>
      </w:r>
      <w:r>
        <w:rPr>
          <w:lang w:val="es-AR" w:eastAsia="es-AR" w:bidi="es-AR"/>
        </w:rPr>
        <w:t xml:space="preserve"> (CC0201 LP 95334 RSD-194-1 S 10/07/2001 Juez MARROCO (SD)Carátula: Tato Automotores S.A. c/Palacios, Mónica Beatriz s/Ejecución prendaria, Magistrados Votantes: Marroco-Sosa).</w:t>
      </w:r>
    </w:p>
    <w:p>
      <w:pPr>
        <w:pStyle w:val="[Normal]"/>
        <w:spacing w:line="360" w:lineRule="auto"/>
        <w:ind w:firstLine="1134"/>
        <w:jc w:val="both"/>
        <w:rPr>
          <w:lang w:val="es-AR" w:eastAsia="es-AR" w:bidi="es-AR"/>
        </w:rPr>
      </w:pPr>
      <w:r>
        <w:rPr>
          <w:lang w:val="es-AR" w:eastAsia="es-AR" w:bidi="es-AR"/>
        </w:rPr>
        <w:t xml:space="preserve">En síntesis los argumentos desplegados por el Juez de Primera Instancia relativos al rechazo de la ejecución han quedado incólumes, por lo que propicio la confirmación del fallo.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VOTO POR LA AFIRMATIVA.</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A la misma cuestión el señor Bernardo Louise votó en disidencia y dijo:</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Disiento respecto a la solución conferida a la presente causa por mi colega preopinante.	</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Ya en tarea adelanto la opinión que lleva razón la queja. Que, en relación a la cuestión por su similitud he de reiterar lo expuesto por el Suscripto en los autos caratulados "CFN SA  C/ LUCCI ALEJANDRO ENRIQUE S/ COBRO EJECUTIVO", expediente N°3971-20, donde en lo que aquí interesa destacar dije: "De la síntesis señalada, se evidencia que la doctrina legal surgente de la mencionada causa ("Asociación Mutual Asís contra Cubilla, María Ester. Cobro ejecutivo" de fecha 14/08/19, C. 121.684), ha sido únicamente el reconocimiento de la vía ejecutiva del llamado "pagaré de consumo",  que resulta ser un título complejo que se integra entre el pagaré, con el instrumento del negocio subyacente y en el cumplimiento del art. 36 de la Ley de Consumidor. Agrego además que como dijera más arriba -como en el caso- debería proceder la preparación de la vía ejecutiva en relación al contrato de mutuo dado la naturaleza compleja del instrumento consumeril que se integra con el pagaré y la documentación subyacente que se le impone a la parte demandada. Al sentar esta posición, la Excma. Corte de la Provincia de Bs. As., como doctrina legal pone fin a las distintas posturas que los órganos de jurisdicción adoptaban en la Provincia de Bs. As., con la finalidad de uniformar la jurisprudencia en el territorio provincial, por cuanto ella es obligatoria para la jurisdicción inferior.</w:t>
      </w:r>
    </w:p>
    <w:p>
      <w:pPr>
        <w:pStyle w:val="[Normal]"/>
        <w:spacing w:line="360" w:lineRule="auto"/>
        <w:ind w:firstLine="1134"/>
        <w:jc w:val="both"/>
        <w:rPr>
          <w:lang w:val="es-AR" w:eastAsia="es-AR" w:bidi="es-AR"/>
        </w:rPr>
      </w:pPr>
      <w:r>
        <w:rPr>
          <w:lang w:val="es-AR" w:eastAsia="es-AR" w:bidi="es-AR"/>
        </w:rPr>
        <w:t xml:space="preserve">Pero considero que no puede extenderse con carácter de doctrina legal, que en toda ejecución consumeril, dogmáticamente, se ejecute el monto del mutuo y no del pagaré. De ser ello así, no hablaríamos de "pagaré de consumo" y la ejecución se limitaría solamente al contrato de mutuo. Lo que sí se advierte que en la citada causa que devino en doctrina legal, la Excma. Cámara Civil y Comercial, al advertir que el monto del mutuo difería de la suma ejecutada en el pagaré, consideró que en  este último al capital se le habían aditado intereses y que ello debía diferirse. Esta circunstancia causal, no tiene la expansión de generalidad y que a todo "pagaré integrado", deba ejecutarse la documentación subyacente, por que ello depende del caso particular.  Hecha tal aclaración entiendo que también en este caso cabe actuar de modo similar. En efecto, como se dijera ut supra, el apelante ejecuta el saldo del total de una operación financiera,  que se compone de capital e intereses conforme el detalle de las cuotas determinadas en el contrato que según el apelante el crédito ha sido desarrollado conforme el llamado sistema francés...".</w:t>
      </w:r>
    </w:p>
    <w:p>
      <w:pPr>
        <w:pStyle w:val="[Normal]"/>
        <w:spacing w:line="360" w:lineRule="auto"/>
        <w:ind w:firstLine="1134"/>
        <w:jc w:val="both"/>
        <w:rPr>
          <w:lang w:val="es-AR" w:eastAsia="es-AR" w:bidi="es-AR"/>
        </w:rPr>
      </w:pPr>
      <w:r>
        <w:rPr>
          <w:lang w:val="es-AR" w:eastAsia="es-AR" w:bidi="es-AR"/>
        </w:rPr>
        <w:t xml:space="preserve">Tal es el caso, es decir que se pretende ejecutar un pagaré, cuya suma es una deuda de capital, más intereses y sobre la cual se han realizado pagos.</w:t>
      </w:r>
    </w:p>
    <w:p>
      <w:pPr>
        <w:pStyle w:val="[Normal]"/>
        <w:spacing w:line="360" w:lineRule="auto"/>
        <w:ind w:firstLine="1134"/>
        <w:jc w:val="both"/>
        <w:rPr>
          <w:lang w:val="es-AR" w:eastAsia="es-AR" w:bidi="es-AR"/>
        </w:rPr>
      </w:pPr>
      <w:r>
        <w:rPr>
          <w:lang w:val="es-AR" w:eastAsia="es-AR" w:bidi="es-AR"/>
        </w:rPr>
        <w:t xml:space="preserve">Entonces, si al momento de despacharse la ejecución el Sr. juez advierte que la suma a ejecutar en el pagaré (denunciados pagos parciales) no es líquida o fácilmente liquidable, entiendo ajustado a  seguir el camino  como lo hizo la Excma. Cámara Civil y Comercial del Dpto. Judicial de San Martín en la referida causa que se constituyó como doctrina legal. </w:t>
      </w:r>
    </w:p>
    <w:p>
      <w:pPr>
        <w:pStyle w:val="[Normal]"/>
        <w:spacing w:line="360" w:lineRule="auto"/>
        <w:ind w:firstLine="1134"/>
        <w:jc w:val="both"/>
        <w:rPr>
          <w:lang w:val="es-AR" w:eastAsia="es-AR" w:bidi="es-AR"/>
        </w:rPr>
      </w:pPr>
      <w:r>
        <w:rPr>
          <w:lang w:val="es-AR" w:eastAsia="es-AR" w:bidi="es-AR"/>
        </w:rPr>
        <w:t xml:space="preserve">Esto es, dado que el pagaré que se pretendió ejecutar en aquellos autos difería del monto del contrato de mutuo al que accedía, lo cual indicaba que el importe consignado en la cartular comprendía capital más intereses, se difirió el tratamiento de dichos accesorios para la oportunidad del dictado de la sentencia y por ello correspondía tomar como monto del reclamo la suma del capital surgente del contrato. </w:t>
      </w:r>
    </w:p>
    <w:p>
      <w:pPr>
        <w:pStyle w:val="[Normal]"/>
        <w:spacing w:line="360" w:lineRule="auto"/>
        <w:ind w:firstLine="1134"/>
        <w:jc w:val="both"/>
        <w:rPr>
          <w:lang w:val="es-AR" w:eastAsia="es-AR" w:bidi="es-AR"/>
        </w:rPr>
      </w:pPr>
      <w:r>
        <w:rPr>
          <w:lang w:val="es-AR" w:eastAsia="es-AR" w:bidi="es-AR"/>
        </w:rPr>
        <w:t xml:space="preserve">Así lo dijo nuestro Superior Tribunal Provincial en la causa "Asociación Mutual Asís contra Cubilla, María Ester. Cobro ejecutivo" de fecha 14/08/19, C. 121.684 ) que venimos referenciando: "... En el asunto a dirimir, tras inspeccionar el contrato de solicitud de préstamo (mutuo) que complementa al pagaré, la Cámara de Apelación valoró que merced a la integración de ambos documentos se cumplía con el art. 36 de la LDC. Por tal motivo desglosó del reclamo el monto del capital que surgía de dicho contrato y supeditó el pronunciamiento acerca de los intereses -rubro susceptible de revisión en caso de abuso o desproporción, art. 771, Código Civil y Comercial- para la oportunidad del dictado de la sentencia...".</w:t>
      </w:r>
    </w:p>
    <w:p>
      <w:pPr>
        <w:pStyle w:val="[Normal]"/>
        <w:spacing w:line="360" w:lineRule="auto"/>
        <w:ind w:firstLine="1134"/>
        <w:jc w:val="both"/>
        <w:rPr>
          <w:lang w:val="es-AR" w:eastAsia="es-AR" w:bidi="es-AR"/>
        </w:rPr>
      </w:pPr>
      <w:r>
        <w:rPr>
          <w:lang w:val="es-AR" w:eastAsia="es-AR" w:bidi="es-AR"/>
        </w:rPr>
        <w:t xml:space="preserve">Ello a mi modo de ver, es por derecho el camino que correspondía transitar. En efecto, como el llamado "pagaré de consumo" es un título complejo que se integra o puede ser integrado y frente a ello el Juzgador -luego de examinar los títulos constitutivos y el cumplimiento del art. 36 de la Ley de Consumo- podía despachar la ejecución del pagaré o del mutuo.</w:t>
      </w:r>
    </w:p>
    <w:p>
      <w:pPr>
        <w:pStyle w:val="[Normal]"/>
        <w:spacing w:line="360" w:lineRule="auto"/>
        <w:ind w:firstLine="1134"/>
        <w:jc w:val="both"/>
        <w:rPr>
          <w:lang w:val="es-AR" w:eastAsia="es-AR" w:bidi="es-AR"/>
        </w:rPr>
      </w:pPr>
      <w:r>
        <w:rPr>
          <w:lang w:val="es-AR" w:eastAsia="es-AR" w:bidi="es-AR"/>
        </w:rPr>
        <w:t xml:space="preserve">Así, si entendió que en el monto del pagaré, la suma no era líquida o fácilmente liquidable, podía examinar el documento base y de observar cumplidos los recaudos de la Ley del consumo podía iniciar la ejecución del monto neto y postergar el tema de los intereses para su oportunidad.</w:t>
      </w:r>
    </w:p>
    <w:p>
      <w:pPr>
        <w:pStyle w:val="[Normal]"/>
        <w:spacing w:line="360" w:lineRule="auto"/>
        <w:ind w:firstLine="1134"/>
        <w:jc w:val="both"/>
        <w:rPr>
          <w:lang w:val="es-AR" w:eastAsia="es-AR" w:bidi="es-AR"/>
        </w:rPr>
      </w:pPr>
      <w:r>
        <w:rPr>
          <w:lang w:val="es-AR" w:eastAsia="es-AR" w:bidi="es-AR"/>
        </w:rPr>
        <w:t xml:space="preserve"> Así en el mismo fallo que venimos señalando se siguió diciendo "De tal suerte, en el ejercicio de las atribuciones que le confiere el ordenamiento procesal (arg. arts. 34 inc. 5 apdo. "c" y 36 inc. 2 y concs., CPCC), el juez puede encuadrar el asunto como una relación de consumo a fin de subsumirlo en el art. 36 de la LDC. Para expedirse sobre la viabilidad de la demanda ejecutiva le es dable examinar los instrumentos complementarios al pagaré que oportunamente hubiese acompañado el ejecutante. Si el título en cuestión, integrado de tal modo o bien autónomamente, satisface las exigencias legales prescriptas en el estatuto del consumidor, podrá dar curso a la ejecución. Ello, claro está, sin desmedro del derecho del ejecutado de articular defensas, incluso centradas en el mencionado art. 36, tendientes a neutralizar la procedencia de la acción..." ( SCBA. c: 121.684 cit.).</w:t>
      </w:r>
    </w:p>
    <w:p>
      <w:pPr>
        <w:pStyle w:val="[Normal]"/>
        <w:spacing w:line="360" w:lineRule="auto"/>
        <w:ind w:firstLine="1134"/>
        <w:jc w:val="both"/>
        <w:rPr>
          <w:lang w:val="es-AR" w:eastAsia="es-AR" w:bidi="es-AR"/>
        </w:rPr>
      </w:pPr>
      <w:r>
        <w:rPr>
          <w:lang w:val="es-AR" w:eastAsia="es-AR" w:bidi="es-AR"/>
        </w:rPr>
        <w:t xml:space="preserve">Ello es lo que a mi ver correspondía conforme la normativa de la Ley de Consumo, como del antecedente jurisprudencial citado y no cercenar el acceso a la jurisdicción.</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60" w:lineRule="auto"/>
        <w:ind w:firstLine="1134"/>
        <w:jc w:val="both"/>
        <w:rPr>
          <w:rFonts w:ascii="Arial" w:hAnsi="Arial" w:eastAsia="Arial" w:cs="Arial"/>
          <w:lang w:val="es-AR" w:eastAsia="es-AR" w:bidi="es-AR"/>
        </w:rPr>
      </w:pPr>
      <w:r>
        <w:rPr>
          <w:rFonts w:ascii="Arial" w:hAnsi="Arial" w:eastAsia="Arial" w:cs="Arial"/>
          <w:b/>
          <w:lang w:val="es-AR" w:eastAsia="es-AR" w:bidi="es-AR"/>
        </w:rPr>
        <w:t xml:space="preserve"> </w:t>
      </w:r>
      <w:r>
        <w:rPr>
          <w:rFonts w:ascii="Arial" w:hAnsi="Arial" w:eastAsia="Arial" w:cs="Arial"/>
          <w:lang w:val="es-AR" w:eastAsia="es-AR" w:bidi="es-AR"/>
        </w:rPr>
        <w:t xml:space="preserve">En suma,  considero que el monto por el que se ha de despachar la ejecución, es el surgente del contrato de mutuo y en el momento  procesal que corresponda, se ha de practicar liquidación de los intereses pactados,  se ha de deducir los pagos parciales, todo ello sujeto al control de la parte o de la jurisdicción.</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VOTO POR LA NEGATIVA.</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A la misma cuestión la señora Jueza Graciela Scaraffia por análogos fundamentos votó en el mismo sentido que el señor Juez Roberto M. Degleue.</w:t>
      </w:r>
    </w:p>
    <w:p>
      <w:pPr>
        <w:pStyle w:val="[Normal]"/>
        <w:spacing w:line="360" w:lineRule="auto"/>
        <w:ind w:firstLine="1134"/>
        <w:jc w:val="both"/>
        <w:rPr>
          <w:lang w:val="es-AR" w:eastAsia="es-AR" w:bidi="es-AR"/>
        </w:rPr>
      </w:pPr>
      <w:r>
        <w:rPr>
          <w:lang w:val="es-AR" w:eastAsia="es-AR" w:bidi="es-AR"/>
        </w:rPr>
        <w:t xml:space="preserve">A la segunda cuestión el señor Juez Roberto M. Degleue dijo: De conformidad al resultado habido al tratarse la cuestión precedente, estimo que el pronunciamiento que corresponde dictar por mayoría es: </w:t>
      </w:r>
    </w:p>
    <w:p>
      <w:pPr>
        <w:pStyle w:val="[Normal]"/>
        <w:spacing w:line="360" w:lineRule="auto"/>
        <w:ind w:firstLine="1134"/>
        <w:jc w:val="both"/>
        <w:rPr>
          <w:lang w:val="es-AR" w:eastAsia="es-AR" w:bidi="es-AR"/>
        </w:rPr>
      </w:pPr>
      <w:r>
        <w:rPr>
          <w:lang w:val="es-AR" w:eastAsia="es-AR" w:bidi="es-AR"/>
        </w:rPr>
        <w:t xml:space="preserve">No hacer lugar al recurso de apelación deducido y en consecuencia confirmar el decisorio apelado, 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Bernardo Louise y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No hacer lugar al recurso de apelación deducido y en consecuencia confirmar el decisorio apelado, 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color w:val="000000"/>
          <w:lang w:val="es-AR" w:eastAsia="es-AR" w:bidi="es-AR"/>
        </w:rPr>
      </w:pPr>
      <w:r>
        <w:rPr>
          <w:lang w:val="es-AR" w:eastAsia="es-AR" w:bidi="es-AR"/>
        </w:rPr>
        <w:t xml:space="preserve">Regístrese. Notifíquese. Devuélvase.-</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09:46:39 -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10:06:12 -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10:14:52 -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11:15:55 -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‰6h")è$Â#*„Š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227202090004970310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‰6h")è$Â#*„Š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227202090004970310</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U">
    <w:name w:val="U"/>
    <w:qFormat/>
    <w:rPr>
      <w:u w:val="single"/>
      <w:rtl w:val="off"/>
      <w:lang w:val="x-none" w:eastAsia="x-none" w:bidi="x-none"/>
    </w:rPr>
  </w:style>
  <w:style w:type="character" w:styleId="EM">
    <w:name w:val="EM"/>
    <w:qFormat/>
    <w:rPr>
      <w:i/>
      <w:iCs/>
      <w:rtl w:val="off"/>
      <w:lang w:val="x-none" w:eastAsia="x-none" w:bidi="x-none"/>
    </w:rPr>
  </w:style>
  <w:style w:type="character" w:styleId="STRONG">
    <w:name w:val="STRONG"/>
    <w:qFormat/>
    <w:rPr>
      <w:b/>
      <w:bCs/>
      <w:rtl w:val="off"/>
      <w:lang w:val="x-none" w:eastAsia="x-none" w:bidi="x-none"/>
    </w:rPr>
  </w:style>
  <w:style w:type="paragraph" w:styleId="Normal">
    <w:name w:val="Normal"/>
    <w:next w:val="Normal"/>
    <w:qFormat/>
    <w:pPr>
      <w:widowControl w:val="on"/>
      <w:shd w:val="clear" w:color="auto" w:fill="auto"/>
      <w:spacing w:before="0" w:after="0" w:line="240" w:lineRule="auto"/>
      <w:ind w:left="0" w:right="0" w:firstLine="0"/>
      <w:jc w:val="left"/>
    </w:pPr>
    <w:rPr>
      <w:rFonts w:ascii="Times New Roman" w:hAnsi="Times New Roman" w:eastAsia="Times New Roman" w:cs="Times New Roman"/>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