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b/>
          <w:lang w:val="es-AR" w:eastAsia="es-AR" w:bidi="es-AR"/>
        </w:rPr>
        <w:t xml:space="preserve">CAUSA N° </w:t>
      </w:r>
      <w:r>
        <w:rPr>
          <w:b/>
          <w:color w:val="000000"/>
          <w:lang w:val="es-AR" w:eastAsia="es-AR" w:bidi="es-AR"/>
        </w:rPr>
        <w:t xml:space="preserve">4001-20</w:t>
      </w:r>
      <w:r>
        <w:rPr>
          <w:b/>
          <w:lang w:val="es-AR" w:eastAsia="es-AR" w:bidi="es-AR"/>
        </w:rPr>
        <w:t xml:space="preserve"> - </w:t>
      </w:r>
      <w:r>
        <w:rPr>
          <w:b/>
          <w:color w:val="000000"/>
          <w:lang w:val="es-AR" w:eastAsia="es-AR" w:bidi="es-AR"/>
        </w:rPr>
        <w:t xml:space="preserve">SCORNAVACCHE, VERONICA TERESA Y OTRO C/ LIDERAR CIA. GRAL. DE SEGUROS S/EJECUCION DE SENTENCIA (INFOREC 148)</w:t>
      </w:r>
      <w:r>
        <w:rPr>
          <w:b/>
          <w:lang w:val="es-AR" w:eastAsia="es-AR" w:bidi="es-AR"/>
        </w:rPr>
        <w:t xml:space="preserve"> - </w:t>
      </w:r>
      <w:r>
        <w:rPr>
          <w:b/>
          <w:color w:val="000000"/>
          <w:lang w:val="es-AR" w:eastAsia="es-AR" w:bidi="es-AR"/>
        </w:rPr>
        <w:t xml:space="preserve">JUZGADO EN LO CIVIL Y COMERCIAL NRO. 3</w:t>
      </w:r>
      <w:r>
        <w:rPr>
          <w:b/>
          <w:lang w:val="es-AR" w:eastAsia="es-AR" w:bidi="es-AR"/>
        </w:rPr>
        <w:t xml:space="preserve"> -</w:t>
      </w:r>
    </w:p>
    <w:p>
      <w:pPr>
        <w:pStyle w:val="[Normal]"/>
        <w:spacing w:line="360" w:lineRule="auto"/>
        <w:ind w:firstLine="851"/>
        <w:jc w:val="both"/>
        <w:rPr>
          <w:b/>
          <w:lang w:val="es-AR" w:eastAsia="es-AR" w:bidi="es-AR"/>
        </w:rPr>
      </w:pPr>
    </w:p>
    <w:p>
      <w:pPr>
        <w:pStyle w:val="[Normal]"/>
        <w:spacing w:line="360" w:lineRule="auto"/>
        <w:ind w:firstLine="851"/>
        <w:jc w:val="both"/>
        <w:rPr>
          <w:lang w:val="es-AR" w:eastAsia="es-AR" w:bidi="es-AR"/>
        </w:rPr>
      </w:pPr>
      <w:r>
        <w:rPr>
          <w:b/>
          <w:lang w:val="es-AR" w:eastAsia="es-AR" w:bidi="es-AR"/>
        </w:rPr>
        <w:t xml:space="preserve">Registro N°  198 / </w:t>
      </w:r>
      <w:r>
        <w:rPr>
          <w:b/>
          <w:color w:val="000000"/>
          <w:lang w:val="es-AR" w:eastAsia="es-AR" w:bidi="es-AR"/>
        </w:rPr>
        <w:t xml:space="preserve">2020</w:t>
      </w:r>
    </w:p>
    <w:p>
      <w:pPr>
        <w:pStyle w:val="[Normal]"/>
        <w:spacing w:line="360" w:lineRule="auto"/>
        <w:ind w:firstLine="851"/>
        <w:jc w:val="both"/>
        <w:rPr>
          <w:lang w:val="es-AR" w:eastAsia="es-AR" w:bidi="es-AR"/>
        </w:rPr>
      </w:pPr>
      <w:r>
        <w:rPr>
          <w:b/>
          <w:lang w:val="es-AR" w:eastAsia="es-AR" w:bidi="es-AR"/>
        </w:rPr>
        <w:t xml:space="preserve">Fojas 413/416</w:t>
      </w:r>
    </w:p>
    <w:p>
      <w:pPr>
        <w:pStyle w:val="[Normal]"/>
        <w:spacing w:line="360" w:lineRule="auto"/>
        <w:ind w:firstLine="851"/>
        <w:jc w:val="both"/>
        <w:rPr>
          <w:lang w:val="es-AR" w:eastAsia="es-AR" w:bidi="es-AR"/>
        </w:rPr>
      </w:pPr>
    </w:p>
    <w:p>
      <w:pPr>
        <w:pStyle w:val="[Normal]"/>
        <w:spacing w:line="360" w:lineRule="auto"/>
        <w:ind w:firstLine="851"/>
        <w:jc w:val="both"/>
        <w:rPr>
          <w:lang w:val="es-AR" w:eastAsia="es-AR" w:bidi="es-AR"/>
        </w:rPr>
      </w:pPr>
      <w:r>
        <w:rPr>
          <w:lang w:val="es-AR" w:eastAsia="es-AR" w:bidi="es-AR"/>
        </w:rPr>
        <w:t xml:space="preserve">Pergamino, 22 </w:t>
      </w:r>
      <w:r>
        <w:rPr>
          <w:color w:val="000000"/>
          <w:lang w:val="es-AR" w:eastAsia="es-AR" w:bidi="es-AR"/>
        </w:rPr>
        <w:t xml:space="preserve">de Septiembre de 2020</w:t>
      </w:r>
      <w:r>
        <w:rPr>
          <w:lang w:val="es-AR" w:eastAsia="es-AR" w:bidi="es-AR"/>
        </w:rPr>
        <w:t xml:space="preserve">.</w:t>
      </w:r>
    </w:p>
    <w:p>
      <w:pPr>
        <w:pStyle w:val="[Normal]"/>
        <w:spacing w:line="360" w:lineRule="auto"/>
        <w:ind w:firstLine="850"/>
        <w:jc w:val="both"/>
        <w:rPr>
          <w:lang w:val="es-AR" w:eastAsia="es-AR" w:bidi="es-AR"/>
        </w:rPr>
      </w:pPr>
      <w:r>
        <w:rPr>
          <w:b/>
          <w:lang w:val="es-AR" w:eastAsia="es-AR" w:bidi="es-AR"/>
        </w:rPr>
        <w:t xml:space="preserve">AUTOS y VISTOS</w:t>
      </w:r>
      <w:r>
        <w:rPr>
          <w:lang w:val="es-AR" w:eastAsia="es-AR" w:bidi="es-AR"/>
        </w:rPr>
        <w:t xml:space="preserve">: para resolver el recurso de apelación interpuesto en fecha 29-7-2020 por Veronica Scornavache y Antonella Nant con el patrocinio letrado de la Dra. Mariana Portella Real contra la providencia de fecha 28-7-2020, concedido en relación el 30-7-2020, fundado el 30-7-2020, y</w:t>
      </w:r>
    </w:p>
    <w:p>
      <w:pPr>
        <w:pStyle w:val="[Normal]"/>
        <w:spacing w:line="360" w:lineRule="auto"/>
        <w:ind w:firstLine="850"/>
        <w:jc w:val="both"/>
        <w:rPr>
          <w:b/>
          <w:lang w:val="es-AR" w:eastAsia="es-AR" w:bidi="es-AR"/>
        </w:rPr>
      </w:pPr>
      <w:r>
        <w:rPr>
          <w:b/>
          <w:lang w:val="es-AR" w:eastAsia="es-AR" w:bidi="es-AR"/>
        </w:rPr>
        <w:t xml:space="preserve">CONSIDERANDO:</w:t>
      </w:r>
    </w:p>
    <w:p>
      <w:pPr>
        <w:pStyle w:val="[Normal]"/>
        <w:spacing w:line="360" w:lineRule="auto"/>
        <w:ind w:firstLine="850"/>
        <w:jc w:val="both"/>
        <w:rPr>
          <w:lang w:val="es-AR" w:eastAsia="es-AR" w:bidi="es-AR"/>
        </w:rPr>
      </w:pPr>
      <w:r>
        <w:rPr>
          <w:lang w:val="es-AR" w:eastAsia="es-AR" w:bidi="es-AR"/>
        </w:rPr>
        <w:t xml:space="preserve">El señor Juez de primera instancia rechazó el pedido de autorización requerido por las accionantes de notificar mediante carta documento del proveído del 26-5-2020 en razón de la pandemia y el Aislamiento Social, Preventivo y Obligatorio. </w:t>
      </w:r>
    </w:p>
    <w:p>
      <w:pPr>
        <w:pStyle w:val="[Normal]"/>
        <w:spacing w:line="360" w:lineRule="auto"/>
        <w:ind w:firstLine="850"/>
        <w:jc w:val="both"/>
        <w:rPr>
          <w:rFonts w:ascii="Times New Roman" w:hAnsi="Times New Roman" w:eastAsia="Times New Roman" w:cs="Times New Roman"/>
          <w:color w:val="000000"/>
          <w:lang w:val="es-AR" w:eastAsia="es-AR" w:bidi="es-AR"/>
        </w:rPr>
      </w:pPr>
      <w:r>
        <w:rPr>
          <w:lang w:val="es-AR" w:eastAsia="es-AR" w:bidi="es-AR"/>
        </w:rPr>
        <w:t xml:space="preserve">Para así decidir, consideró que </w:t>
      </w:r>
      <w:r>
        <w:rPr>
          <w:color w:val="000000"/>
          <w:lang w:val="es-AR" w:eastAsia="es-AR" w:bidi="es-AR"/>
        </w:rPr>
        <w:t xml:space="preserve">la notificación de embargo y citación de venta adquieren en este tipo de procesos el carácter de traslado de demanda y el art. 143 del CPCC veda la utilización de dicho medio de notificación en los supuestos previstos por el art. 135 apartado 1 del citado código.</w:t>
      </w:r>
    </w:p>
    <w:p>
      <w:pPr>
        <w:pStyle w:val="[Normal]"/>
        <w:spacing w:line="360" w:lineRule="auto"/>
        <w:ind w:firstLine="850"/>
        <w:jc w:val="both"/>
        <w:rPr>
          <w:lang w:val="es-AR" w:eastAsia="es-AR" w:bidi="es-AR"/>
        </w:rPr>
      </w:pPr>
      <w:r>
        <w:rPr>
          <w:lang w:val="es-AR" w:eastAsia="es-AR" w:bidi="es-AR"/>
        </w:rPr>
        <w:t xml:space="preserve">Disconforme con lo resuelto, apela la accionante cuyos agravios se encuentran orientados a obtener la revocación de lo decidido, fundado su memorial en que debido al Aislamiento Social, Preventivo y Obligatorio a raíz de la pandemia, en Capital Federal -donde tiene domicilio real la demandada Liderar Seguros- las Oficinas de Notificaciones no se encuentran diligenciando cédulas debido al emergencia sanitaria que atraviesa el país. Menciona que existen diversos fallos en este sentido y que se fundamentan en el principio de instrumentalidad de las formas o finalismo, según el cual los actos procesales son válidos y eficaces, aún cuando no respecten la forma preestablecida en la ley, si se celebran de modo tal que cumple su finalidad y no afecta el derecho de defensa de las partes.</w:t>
      </w:r>
    </w:p>
    <w:p>
      <w:pPr>
        <w:pStyle w:val="[Normal]"/>
        <w:spacing w:line="360" w:lineRule="auto"/>
        <w:ind w:firstLine="850"/>
        <w:jc w:val="both"/>
        <w:rPr>
          <w:lang w:val="es-AR" w:eastAsia="es-AR" w:bidi="es-AR"/>
        </w:rPr>
      </w:pPr>
      <w:r>
        <w:rPr>
          <w:lang w:val="es-AR" w:eastAsia="es-AR" w:bidi="es-AR"/>
        </w:rPr>
        <w:t xml:space="preserve">Peticiona se haga lugar al recurso deducido y se ordene la notificación mediante carta documento a los fines de evitar mayores dilaciones en la tramitación del presente juicio.</w:t>
      </w:r>
    </w:p>
    <w:p>
      <w:pPr>
        <w:pStyle w:val="[Normal]"/>
        <w:spacing w:line="360" w:lineRule="auto"/>
        <w:ind w:firstLine="850"/>
        <w:jc w:val="both"/>
        <w:rPr>
          <w:lang w:val="es-AR" w:eastAsia="es-AR" w:bidi="es-AR"/>
        </w:rPr>
      </w:pPr>
      <w:r>
        <w:rPr>
          <w:lang w:val="es-AR" w:eastAsia="es-AR" w:bidi="es-AR"/>
        </w:rPr>
        <w:t xml:space="preserve">Entrando a revolver, si bien es cierto que la referencia normativa tomada por el aquo establece que la notificación por correo electrónico oficial, telegrama colacionado con copia certificada y aviso de entrega y carta documento con aviso de entrega, no podrá utilizarse en los casos en que deba notificarse el traslado de la demanda (art. 135, inc. 1°), estima esta Alzada que la cuestión merece un análisis más amplio y profundo considerando especialmente la situación excepcional de emergencia sanitaria por Covid-19 y de Aislamiento Social, Preventivo y Obligatorio dispuesta por el Poder Ejecutivo Nacional ; y las consecuencias que ello genera en el desarrollo del servicio en el ámbito de la Administración de Justicia.</w:t>
      </w:r>
    </w:p>
    <w:p>
      <w:pPr>
        <w:pStyle w:val="[Normal]"/>
        <w:spacing w:line="360" w:lineRule="auto"/>
        <w:ind w:firstLine="850"/>
        <w:jc w:val="both"/>
        <w:rPr>
          <w:lang w:val="es-AR" w:eastAsia="es-AR" w:bidi="es-AR"/>
        </w:rPr>
      </w:pPr>
      <w:r>
        <w:rPr>
          <w:lang w:val="es-AR" w:eastAsia="es-AR" w:bidi="es-AR"/>
        </w:rPr>
        <w:t xml:space="preserve">Así,</w:t>
      </w:r>
      <w:r>
        <w:rPr>
          <w:i/>
          <w:lang w:val="es-AR" w:eastAsia="es-AR" w:bidi="es-AR"/>
        </w:rPr>
        <w:t xml:space="preserve"> "La doctrina y jurisprudencia son contestes al señalar que la especial regulación de la notificación de la demanda que prevé el artículo 143 del CPCC, obedece a que ésta es la primera comunicación que tendrá la parte demandada de la existencia de un juicio en su contra (acto de la "notificación de la demanda"), y que por eso se buscó un medio que aporte garantías sobre el conocimiento efectivo (conf. Alberto L. Mourino, Notificaciones procesales, Edit. Astrea, pág. 60/61; Morello Sosa y Berizonce, Códigos procesales ..., Edit. Librería Editora Platense - Abeledo Perrot, pág. 732/sgts). Ahora bien, esa "forma", como cualquier de las otras reglamentadas en el ordenamiento procesal, no posee un fin en sí misma. Las "formas procesales", como reiteradamente se ha dicho, no se establecen en el solo interés de la ley, sino para garantizar, en definitiva, el derecho de defensa en juicio (jurisp. SCBA LP C 122534 S 11/09/2019, C 99281 S 28/05/2010, entre muchas; Cám. Civ. y Com. Segunda Sala II de La Plata causa N° 124526 RSI-322-18 resol. deI 27/11/2018; conf. Ana Claudia Paulettim, Importancia actual de los principios del proceso civil, pág. 71/86, Sergio J. Barberio - Marcela M. García Solá, Principios generales del proceso civil, pág. 35/62, trabajos publicados en Principios Procesales, T. I, director Jorge W. Peyrano, Edit. Rubinzal - Culzoni). Tan es así que si un acto procesal no se realiza de acuerdo a la forma prevista, igualmente se lo considera válido cuando cumple la finalidad a la que se hallaba destinado (art. 169, último párrafo, del CPCC). Es por ello que sostenemos la posibilidad de flexibilizar aquella regla en pos de la finalidad del acto que instrumenta (conf. Nicolás I. Manterola, ¿Es eficaz la notificación de un resolución judicial a través WhatsApp o email?, pub el 14/05/2020 en www.saij.gob.ar, Id SAIJ: DACF200093) </w:t>
      </w:r>
      <w:r>
        <w:rPr>
          <w:lang w:val="es-AR" w:eastAsia="es-AR" w:bidi="es-AR"/>
        </w:rPr>
        <w:t xml:space="preserve">(conf. Cámara de Apelación en lo Civil y Comercial de Mar del Plata, Sala III, causa n° 169.902, del 5-8-2020)</w:t>
      </w:r>
      <w:r>
        <w:rPr>
          <w:i/>
          <w:lang w:val="es-AR" w:eastAsia="es-AR" w:bidi="es-AR"/>
        </w:rPr>
        <w:t xml:space="preserve">.</w:t>
      </w:r>
    </w:p>
    <w:p>
      <w:pPr>
        <w:pStyle w:val="[Normal]"/>
        <w:spacing w:line="360" w:lineRule="auto"/>
        <w:ind w:firstLine="850"/>
        <w:jc w:val="both"/>
        <w:rPr>
          <w:lang w:val="es-AR" w:eastAsia="es-AR" w:bidi="es-AR"/>
        </w:rPr>
      </w:pPr>
      <w:r>
        <w:rPr>
          <w:lang w:val="es-AR" w:eastAsia="es-AR" w:bidi="es-AR"/>
        </w:rPr>
        <w:t xml:space="preserve">Y en esa tónica flexibilizadora, es la propia Suprema Corte de Justicia Provincial la que en el marco de la normativa dictada en razón de la pandemia, a fin de garantizar la prestación indispensable del servicio de justicia, procede al dictado de normas de carácter excepcional que regulan procesos y procedimientos, entre ellas la Resolución 10/20, la que en el art. 2, inc. "c.1", dispone que en los casos que las normativas adjetivas establezcan que la notificación de la sentencia definitiva o equiparable a ésta se efectué en formato papel, la misma se realizará en forma electrónica; lo que denota una clara flexibilización de las normas procesales en materia de notificaciones. </w:t>
      </w:r>
    </w:p>
    <w:p>
      <w:pPr>
        <w:pStyle w:val="[Normal]"/>
        <w:spacing w:line="360" w:lineRule="auto"/>
        <w:ind w:firstLine="850"/>
        <w:jc w:val="both"/>
        <w:rPr>
          <w:lang w:val="es-AR" w:eastAsia="es-AR" w:bidi="es-AR"/>
        </w:rPr>
      </w:pPr>
      <w:r>
        <w:rPr>
          <w:lang w:val="es-AR" w:eastAsia="es-AR" w:bidi="es-AR"/>
        </w:rPr>
        <w:t xml:space="preserve">Consecuentemente, valorando especialmente la situación extraordinaria en la que nos encontramos, consideramos que la potestad jurisdiccional no se puede agotar con la aplicación mecánica del Código de Procedimientos, lo que nos lleva a encontrar otras soluciones posibles y considerar como idóneo el requerimiento efectuado por la parte actora tendiente a obtener la notificación mediante carta documento, garantizando siempre el derecho de defensa de las partes. </w:t>
      </w:r>
    </w:p>
    <w:p>
      <w:pPr>
        <w:pStyle w:val="[Normal]"/>
        <w:spacing w:line="360" w:lineRule="auto"/>
        <w:ind w:firstLine="850"/>
        <w:jc w:val="both"/>
        <w:rPr>
          <w:lang w:val="es-AR" w:eastAsia="es-AR" w:bidi="es-AR"/>
        </w:rPr>
      </w:pPr>
      <w:r>
        <w:rPr>
          <w:lang w:val="es-AR" w:eastAsia="es-AR" w:bidi="es-AR"/>
        </w:rPr>
        <w:t xml:space="preserve">En este sentido diversos juzgados y tribunales de la provincia han resuelto situaciones similares a la presente, optando también por la flexibilización de las normas procesales a los efectos de notificar providencias o resoluciones a través de diferentes medios (conf. Juzgado de Paz de General La Madrid, "S. S. G. c/ G. R. A. s/ alimentos", del 2-4-2020, Cita: MJ-JU-M-124747-AR, MJJ124747; Cámara de Apelación en lo Civil y Comercial de Mar del Plata, Sala III, "Protegiendo al consumidor P.A.C. C/ Medife Asociación Civil s/ Repetición sumas de dinero"; causa n° 169902 del 5-8-2020, Cita: MJ-JU-M-126895-AR, MJJ126895, Cámara de Apelación en lo Civil y Comercial de Lomas de Zamora, Sala I, "Cobo Niño Jorge Alberto c/ Fumaneri Arnoldo Alfredo y otro s/ Daños y Perjuicios, Reg. N° 217 del 10-8-2020 y "Barcelo Nicolás c/ Dominguez Lauta y ots. s/ Daños y Perjuicios, Reg. 216 sent. del 7/08/2020; Cámara de Apelación en lo Civil y Comercial de San Isidro, Sala I, "Rolon Ariel Eduardo y otro/a c/ Marinovich Gabriel Andres y otro/a s/ Daños y Perjuicios", causa N° 7714 del 9-9-2020).</w:t>
      </w:r>
    </w:p>
    <w:p>
      <w:pPr>
        <w:pStyle w:val="[Normal]"/>
        <w:spacing w:line="360" w:lineRule="auto"/>
        <w:ind w:firstLine="850"/>
        <w:jc w:val="both"/>
        <w:rPr>
          <w:lang w:val="es-AR" w:eastAsia="es-AR" w:bidi="es-AR"/>
        </w:rPr>
      </w:pPr>
      <w:r>
        <w:rPr>
          <w:i/>
          <w:lang w:val="es-AR" w:eastAsia="es-AR" w:bidi="es-AR"/>
        </w:rPr>
        <w:t xml:space="preserve">"En fin, la pandemia de COVID-19 digitalizó el proceso y nos incitó a crear soluciones creativas y novedosas para seguir tramitando los procesos judiciales. Debemos sortear los obstáculos materiales con creatividad y respetando el derecho de defensa de las partes, pero lo que no podemos es dejar paralizados los procesos porque no podemos notificar como siempre lo hacíamos (con cédula papel al domicilio real del accionado)"</w:t>
      </w:r>
      <w:r>
        <w:rPr>
          <w:lang w:val="es-AR" w:eastAsia="es-AR" w:bidi="es-AR"/>
        </w:rPr>
        <w:t xml:space="preserve"> (Nicolás I. Manterola, "La notificación del traslado de demanda por carta documento u otros medios en el marco de la Pandemia de COVID-19", Ed. Microjuris.com, 19 agosto 2020 Cita: MJ-DOC-15488-AR | MJD15488)</w:t>
      </w:r>
    </w:p>
    <w:p>
      <w:pPr>
        <w:pStyle w:val="[Normal]"/>
        <w:spacing w:line="360" w:lineRule="auto"/>
        <w:ind w:firstLine="850"/>
        <w:jc w:val="both"/>
        <w:rPr>
          <w:lang w:val="es-AR" w:eastAsia="es-AR" w:bidi="es-AR"/>
        </w:rPr>
      </w:pPr>
      <w:r>
        <w:rPr>
          <w:lang w:val="es-AR" w:eastAsia="es-AR" w:bidi="es-AR"/>
        </w:rPr>
        <w:t xml:space="preserve">Finalmente, ésta Alzada estima de consideración seguir el criterio  recientemente expuesto por la Cámara de Apelación en lo Civil y Comercial de San Isidro, Sala I, al resolver un caso que guarda analogía con el de autos, en torno a los requisitos que tendrá que cumplir la carta documento que se remita, siempre a los fines de garantizar el derecho de defensa de las partes y evitar ulteriores nulidades (art. 18 de la CN y art. 34, inc. 5, ap. "b" del CPCC). </w:t>
      </w:r>
    </w:p>
    <w:p>
      <w:pPr>
        <w:pStyle w:val="[Normal]"/>
        <w:spacing w:line="360" w:lineRule="auto"/>
        <w:ind w:firstLine="850"/>
        <w:jc w:val="both"/>
        <w:rPr>
          <w:lang w:val="es-AR" w:eastAsia="es-AR" w:bidi="es-AR"/>
        </w:rPr>
      </w:pPr>
      <w:r>
        <w:rPr>
          <w:lang w:val="es-AR" w:eastAsia="es-AR" w:bidi="es-AR"/>
        </w:rPr>
        <w:t xml:space="preserve">Así, "En primer término, se enviará por el Correo Argentino, por ser el correo oficial, debiendo agregarse oportunamente el correspondiente acuse de recibo. Se deberán especificar todos los datos correspondientes al expediente y su radicación, indicándose el objeto, monto y partes tanto actoras como demandadas; con la transcripción del auto que autoriza la notificación por este medio, así como también la resolución o providencia notificada, indicándose en forma expresa el plazo para contestar la demanda y en su caso para oponer excepciones, con transcripción íntegra de los artículos según corresponda a la clase de proceso. El texto deberá confeccionarse en una fuente que facilite su lectura, a cuyo fin se utilizará Arial en tamaño no inferior a 12, con un interlineado de 1,5 (arg. art. 36 CPCC). Para el caso en que se deba dar traslado de copias y/o documentación, se deberán individualizar e indicar que se encuentran disponibles para su consulta en la Mesa de Entradas Virtual (www.scba.gov.ar)" (conf. Cámara de Apelación en lo Civil y Comercial de San Isidro, Sala I, "Rolon Ariel Eduardo y otro/a c/ Marinovich Gabriel Andres y otro/a s/ Daños y Perjuicios", causa N° 7714 del 9-9-2020).</w:t>
      </w:r>
    </w:p>
    <w:p>
      <w:pPr>
        <w:pStyle w:val="[Normal]"/>
        <w:spacing w:line="360" w:lineRule="auto"/>
        <w:ind w:firstLine="850"/>
        <w:jc w:val="both"/>
        <w:rPr>
          <w:lang w:val="es-AR" w:eastAsia="es-AR" w:bidi="es-AR"/>
        </w:rPr>
      </w:pPr>
      <w:r>
        <w:rPr>
          <w:lang w:val="es-AR" w:eastAsia="es-AR" w:bidi="es-AR"/>
        </w:rPr>
        <w:t xml:space="preserve">	Por lo expuesto este Tribunal RESUELVE:</w:t>
      </w:r>
    </w:p>
    <w:p>
      <w:pPr>
        <w:pStyle w:val="[Normal]"/>
        <w:spacing w:line="360" w:lineRule="auto"/>
        <w:jc w:val="both"/>
        <w:rPr>
          <w:lang w:val="es-AR" w:eastAsia="es-AR" w:bidi="es-AR"/>
        </w:rPr>
      </w:pPr>
      <w:r>
        <w:rPr>
          <w:lang w:val="es-AR" w:eastAsia="es-AR" w:bidi="es-AR"/>
        </w:rPr>
        <w:t xml:space="preserve">	Hacer lugar al recurso de apelación deducido y en consecuencia revocar el proveído de fecha 28-7-2020, autorizándose la notificación requerida por carta documento del Correo Argentino, debiendo agregarse oportunamente el correspondiente acuse de recibo, el envío deberá contener todos los datos correspondientes al  expediente y su radicación, indicándose el objeto, monto y partes tanto actoras como demandadas; con la transcripción del auto que autoriza la notificación por este medio, así como también la resolución o providencia notificada, indicándose en forma expresa el plazo para contestar la demanda y en su caso para oponer excepciones, con transcripción íntegra de los artículos según corresponda a la clase de proceso. El texto deberá confeccionarse en una fuente que facilite su lectura, a cuyo fin se utilizará Arial en tamaño no inferior a 12, con un interlineado de 1,5 (arg. art. 36 CPCC). Para el caso en que se deba dar traslado de copias y/o documentación, se deberán individualizar e indicar que se encuentran disponibles para su consulta en la Mesa de Entradas Virtual (www.scba.gov.ar)</w:t>
      </w:r>
    </w:p>
    <w:p>
      <w:pPr>
        <w:pStyle w:val="[Normal]"/>
        <w:spacing w:line="360" w:lineRule="auto"/>
        <w:jc w:val="both"/>
        <w:rPr>
          <w:lang w:val="es-AR" w:eastAsia="es-AR" w:bidi="es-AR"/>
        </w:rPr>
      </w:pPr>
      <w:r>
        <w:rPr>
          <w:lang w:val="es-AR" w:eastAsia="es-AR" w:bidi="es-AR"/>
        </w:rPr>
        <w:t xml:space="preserve">	Sin costas por no mediar controversia de partes (art. 68 a contrario sensu y ccs. del CPCC). </w:t>
      </w:r>
    </w:p>
    <w:p>
      <w:pPr>
        <w:pStyle w:val="[Normal]"/>
        <w:spacing w:line="360" w:lineRule="auto"/>
        <w:ind w:firstLine="850"/>
        <w:jc w:val="both"/>
        <w:rPr>
          <w:lang w:val="es-AR" w:eastAsia="es-AR" w:bidi="es-AR"/>
        </w:rPr>
      </w:pPr>
      <w:r>
        <w:rPr>
          <w:lang w:val="es-AR" w:eastAsia="es-AR" w:bidi="es-AR"/>
        </w:rPr>
        <w:t xml:space="preserve">	Regístrese. Notifíquese. Devuélvase. </w:t>
      </w:r>
    </w:p>
    <w:p>
      <w:pPr>
        <w:pStyle w:val="[Normal]"/>
        <w:spacing w:line="360" w:lineRule="auto"/>
        <w:ind w:firstLine="850"/>
        <w:jc w:val="both"/>
        <w:rPr>
          <w:lang w:val="es-AR" w:eastAsia="es-AR" w:bidi="es-AR"/>
        </w:rPr>
      </w:pPr>
    </w:p>
    <w:p>
      <w:pPr>
        <w:pStyle w:val="[Normal]"/>
        <w:spacing w:line="360" w:lineRule="auto"/>
        <w:ind w:firstLine="851"/>
        <w:jc w:val="both"/>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22/09/2020 09:37:32 -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22/09/2020 09:42:48 - Graciela Hilda Scaraffia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22/09/2020 09:53:07 -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22/09/2020 12:51:22 -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‰8n")è$ÁvgtŠ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247802090004968671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spacing w:line="360" w:lineRule="auto"/>
        <w:ind w:firstLine="851"/>
      </w:pPr>
    </w:p>
    <w:sectPr>
      <w:headerReference w:type="default" r:id="rId00004"/>
      <w:footerReference w:type="default" r:id="rId00005"/>
      <w:pgSz w:w="11906" w:h="16837"/>
      <w:pgMar w:top="3402" w:right="851"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tbl>
    <w:tblPr>
      <w:tblW w:w="0" w:type="auto"/>
      <w:jc w:val="left"/>
      <w:tblInd w:w="30" w:type="dxa"/>
      <w:tblBorders>
        <w:top w:val="none"/>
        <w:left w:val="none"/>
        <w:bottom w:val="none"/>
        <w:right w:val="none"/>
        <w:insideH w:val="none"/>
        <w:insideV w:val="none"/>
      </w:tblBorders>
      <w:tblLayout w:type="fixed"/>
      <w:tblCellMar>
        <w:top w:w="0" w:type="dxa"/>
        <w:left w:w="30" w:type="dxa"/>
        <w:bottom w:w="0" w:type="dxa"/>
        <w:right w:w="30" w:type="dxa"/>
      </w:tblCellMar>
    </w:tblPr>
    <w:tblGrid>
      <w:gridCol w:w="8220"/>
    </w:tblGrid>
    <w:tr>
      <w:tc>
        <w:tcPr>
          <w:tcW w:w="8220" w:type="dxa"/>
          <w:shd w:val="clear" w:color="auto" w:fill="auto"/>
          <w:vAlign w:val="top"/>
        </w:tcPr>
        <w:p>
          <w:pPr>
            <w:pStyle w:val="[Normal]"/>
            <w:jc w:val="right"/>
            <w:rPr>
              <w:color w:val="0000FF"/>
              <w:lang w:val="es-AR" w:eastAsia="es-AR" w:bidi="es-AR"/>
            </w:rPr>
          </w:pPr>
          <w:r>
            <w:rPr>
              <w:rFonts w:ascii="BarCode 128" w:hAnsi="BarCode 128" w:eastAsia="BarCode 128" w:cs="BarCode 128"/>
              <w:color w:val="000000"/>
              <w:sz w:val="50"/>
              <w:lang w:val="es-AR" w:eastAsia="es-AR" w:bidi="es-AR"/>
            </w:rPr>
            <w:t xml:space="preserve">‰8n")è$ÁvgtŠ</w:t>
          </w:r>
        </w:p>
      </w:tc>
    </w:tr>
    <w:tr>
      <w:tc>
        <w:tcPr>
          <w:tcW w:w="8220" w:type="dxa"/>
          <w:shd w:val="clear" w:color="auto" w:fill="auto"/>
          <w:vAlign w:val="top"/>
        </w:tcPr>
        <w:p>
          <w:pPr>
            <w:pStyle w:val="[Normal]"/>
            <w:jc w:val="right"/>
            <w:rPr>
              <w:color w:val="0000FF"/>
              <w:lang w:val="es-AR" w:eastAsia="es-AR" w:bidi="es-AR"/>
            </w:rPr>
          </w:pPr>
          <w:r>
            <w:rPr>
              <w:color w:val="000000"/>
              <w:lang w:val="es-AR" w:eastAsia="es-AR" w:bidi="es-AR"/>
            </w:rPr>
            <w:t xml:space="preserve">247802090004968671</w:t>
          </w:r>
        </w:p>
      </w:tc>
    </w:tr>
    <w:tr>
      <w:tc>
        <w:tcPr>
          <w:tcW w:w="8220" w:type="dxa"/>
          <w:shd w:val="clear" w:color="auto" w:fill="auto"/>
          <w:vAlign w:val="top"/>
        </w:tcPr>
        <w:p>
          <w:pPr>
            <w:pStyle w:val="[Normal]"/>
            <w:rPr>
              <w:lang w:val="es-AR" w:eastAsia="es-AR" w:bidi="es-AR"/>
            </w:rPr>
          </w:pPr>
          <w:r>
            <w:rPr>
              <w:color w:val="000000"/>
              <w:lang w:val="es-AR" w:eastAsia="es-AR" w:bidi="es-AR"/>
            </w:rPr>
            <w:drawing>
              <wp:inline distT="0" distB="0" distL="0" distR="0">
                <wp:extent cx="1466850" cy="9525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1466850" cy="952500"/>
                        </a:xfrm>
                        <a:prstGeom prst="rect">
                          <a:avLst/>
                        </a:prstGeom>
                      </pic:spPr>
                    </pic:pic>
                  </a:graphicData>
                </a:graphic>
              </wp:inline>
            </w:drawing>
          </w:r>
          <w:r>
            <w:rPr>
              <w:color w:val="000000"/>
              <w:lang w:val="es-AR" w:eastAsia="es-AR" w:bidi="es-AR"/>
            </w:rPr>
            <w:t xml:space="preserve">              </w:t>
          </w:r>
        </w:p>
      </w:tc>
    </w:tr>
  </w:tbl>
  <w:p>
    <w:pPr>
      <w:pStyle w:val="[Normal]"/>
      <w:jc w:val="right"/>
      <w:rPr>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n"/>
      <w:shd w:val="clear" w:color="auto" w:fill="auto"/>
      <w:spacing w:before="0" w:after="0" w:line="240"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 w:type="character" w:styleId="U">
    <w:name w:val="U"/>
    <w:qFormat/>
    <w:rPr>
      <w:u w:val="single"/>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