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p>
    <w:p>
      <w:pPr>
        <w:pStyle w:val="[Normal]"/>
        <w:spacing w:line="360" w:lineRule="auto"/>
        <w:jc w:val="both"/>
        <w:rPr>
          <w:b/>
          <w:lang w:val="es-AR" w:eastAsia="es-AR" w:bidi="es-AR"/>
        </w:rPr>
      </w:pPr>
      <w:r>
        <w:rPr>
          <w:lang w:val="es-AR" w:eastAsia="es-AR" w:bidi="es-AR"/>
        </w:rPr>
        <w:t xml:space="preserve">	</w:t>
      </w:r>
      <w:r>
        <w:rPr>
          <w:b/>
          <w:lang w:val="es-AR" w:eastAsia="es-AR" w:bidi="es-AR"/>
        </w:rPr>
        <w:t xml:space="preserve">Registro N° 135 /</w:t>
      </w:r>
      <w:r>
        <w:rPr>
          <w:b/>
          <w:lang w:val="es-AR" w:eastAsia="es-AR" w:bidi="es-AR"/>
        </w:rPr>
        <w:t xml:space="preserve">2020</w:t>
      </w:r>
      <w:r>
        <w:rPr>
          <w:b/>
          <w:lang w:val="es-AR" w:eastAsia="es-AR" w:bidi="es-AR"/>
        </w:rPr>
        <w:t xml:space="preserve"> </w:t>
      </w:r>
    </w:p>
    <w:p>
      <w:pPr>
        <w:pStyle w:val="[Normal]"/>
        <w:spacing w:line="360" w:lineRule="auto"/>
        <w:jc w:val="both"/>
        <w:rPr>
          <w:lang w:val="es-AR" w:eastAsia="es-AR" w:bidi="es-AR"/>
        </w:rPr>
      </w:pPr>
      <w:r>
        <w:rPr>
          <w:b/>
          <w:lang w:val="es-AR" w:eastAsia="es-AR" w:bidi="es-AR"/>
        </w:rPr>
        <w:t xml:space="preserve">	Folio 867/ 872</w:t>
      </w:r>
    </w:p>
    <w:p>
      <w:pPr>
        <w:pStyle w:val="[Normal]"/>
        <w:spacing w:line="360" w:lineRule="auto"/>
        <w:jc w:val="both"/>
        <w:rPr>
          <w:lang w:val="es-AR" w:eastAsia="es-AR" w:bidi="es-AR"/>
        </w:rPr>
      </w:pPr>
    </w:p>
    <w:p>
      <w:pPr>
        <w:pStyle w:val="[Normal]"/>
        <w:spacing w:line="360" w:lineRule="auto"/>
        <w:jc w:val="both"/>
        <w:rPr>
          <w:lang w:val="es-AR" w:eastAsia="es-AR" w:bidi="es-AR"/>
        </w:rPr>
      </w:pPr>
      <w:r>
        <w:rPr>
          <w:lang w:val="es-AR" w:eastAsia="es-AR" w:bidi="es-AR"/>
        </w:rPr>
        <w:t xml:space="preserve">	En la ciudad de Pergamino, el  1   de  Octubre  de </w:t>
      </w:r>
      <w:r>
        <w:rPr>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b/>
          <w:lang w:val="es-AR" w:eastAsia="es-AR" w:bidi="es-AR"/>
        </w:rPr>
        <w:t xml:space="preserve">4006-20</w:t>
      </w:r>
      <w:r>
        <w:rPr>
          <w:lang w:val="es-AR" w:eastAsia="es-AR" w:bidi="es-AR"/>
        </w:rPr>
        <w:t xml:space="preserve"> caratulada </w:t>
      </w:r>
      <w:r>
        <w:rPr>
          <w:b/>
          <w:lang w:val="es-AR" w:eastAsia="es-AR" w:bidi="es-AR"/>
        </w:rPr>
        <w:t xml:space="preserve">"</w:t>
      </w:r>
      <w:r>
        <w:rPr>
          <w:b/>
          <w:lang w:val="es-AR" w:eastAsia="es-AR" w:bidi="es-AR"/>
        </w:rPr>
        <w:t xml:space="preserve">CFN S.A.  C/ DUFOUR LUIS RUBEN S/ COBRO EJECUTIVO</w:t>
      </w:r>
      <w:r>
        <w:rPr>
          <w:b/>
          <w:lang w:val="es-AR" w:eastAsia="es-AR" w:bidi="es-AR"/>
        </w:rPr>
        <w:t xml:space="preserve">"</w:t>
      </w:r>
      <w:r>
        <w:rPr>
          <w:lang w:val="es-AR" w:eastAsia="es-AR" w:bidi="es-AR"/>
        </w:rPr>
        <w:t xml:space="preserve">, Expte. N° 72990 del Juzgado en lo Civil y Comercial N° 1, se practicó el sorteo de ley que determinó que la votación debía efectuarse en el siguiente orden: Roberto Manuel Degleue, Bernardo Louise, Graciela Scarafffia, y estudiados los autos se resolvió  plantear y votar las siguientes: </w:t>
      </w:r>
    </w:p>
    <w:p>
      <w:pPr>
        <w:pStyle w:val="[Normal]"/>
        <w:spacing w:line="360" w:lineRule="auto"/>
        <w:jc w:val="both"/>
        <w:rPr>
          <w:lang w:val="es-AR" w:eastAsia="es-AR" w:bidi="es-AR"/>
        </w:rPr>
      </w:pPr>
      <w:r>
        <w:rPr>
          <w:lang w:val="es-AR" w:eastAsia="es-AR" w:bidi="es-AR"/>
        </w:rPr>
        <w:t xml:space="preserve">	C U E S T I O N E S:</w:t>
      </w:r>
    </w:p>
    <w:p>
      <w:pPr>
        <w:pStyle w:val="[Normal]"/>
        <w:spacing w:line="360" w:lineRule="auto"/>
        <w:jc w:val="both"/>
        <w:rPr>
          <w:lang w:val="es-AR" w:eastAsia="es-AR" w:bidi="es-AR"/>
        </w:rPr>
      </w:pPr>
      <w:r>
        <w:rPr>
          <w:lang w:val="es-AR" w:eastAsia="es-AR" w:bidi="es-AR"/>
        </w:rPr>
        <w:t xml:space="preserve">	I) ¿Se ajusta a derecho la sentencia apelada?</w:t>
      </w:r>
    </w:p>
    <w:p>
      <w:pPr>
        <w:pStyle w:val="[Normal]"/>
        <w:spacing w:line="360" w:lineRule="auto"/>
        <w:jc w:val="both"/>
        <w:rPr>
          <w:lang w:val="es-AR" w:eastAsia="es-AR" w:bidi="es-AR"/>
        </w:rPr>
      </w:pPr>
      <w:r>
        <w:rPr>
          <w:lang w:val="es-AR" w:eastAsia="es-AR" w:bidi="es-AR"/>
        </w:rPr>
        <w:t xml:space="preserve">	II) ¿Qué pronunciamiento corresponde dictar?</w:t>
      </w:r>
    </w:p>
    <w:p>
      <w:pPr>
        <w:pStyle w:val="[Normal]"/>
        <w:spacing w:line="360" w:lineRule="auto"/>
        <w:jc w:val="both"/>
        <w:rPr>
          <w:lang w:val="es-AR" w:eastAsia="es-AR" w:bidi="es-AR"/>
        </w:rPr>
      </w:pPr>
      <w:r>
        <w:rPr>
          <w:lang w:val="es-AR" w:eastAsia="es-AR" w:bidi="es-AR"/>
        </w:rPr>
        <w:t xml:space="preserve">	A la primera cuestión el señor Juez Roberto Manuel Degleue dijo:</w:t>
      </w:r>
    </w:p>
    <w:p>
      <w:pPr>
        <w:pStyle w:val="[Normal]"/>
        <w:spacing w:line="360" w:lineRule="auto"/>
        <w:jc w:val="both"/>
        <w:rPr>
          <w:lang w:val="es-AR" w:eastAsia="es-AR" w:bidi="es-AR"/>
        </w:rPr>
      </w:pPr>
      <w:r>
        <w:rPr>
          <w:lang w:val="es-AR" w:eastAsia="es-AR" w:bidi="es-AR"/>
        </w:rPr>
        <w:t xml:space="preserve">El señor Juez de la anterior sede falló en las presentes actuaciones rechazando la  excepción de  inhabilidad  de  título  opuesta  en fecha 09/12/2019 y, en consecuencia, mandando  llevar  adelante  la ejecución hasta tanto el ejecutado Luis Rubén Dufour haga al acreedor  </w:t>
      </w:r>
      <w:r>
        <w:rPr>
          <w:lang w:val="es-AR" w:eastAsia="es-AR" w:bidi="es-AR"/>
        </w:rPr>
        <w:t xml:space="preserve">CFN S.A.</w:t>
      </w:r>
      <w:r>
        <w:rPr>
          <w:lang w:val="es-AR" w:eastAsia="es-AR" w:bidi="es-AR"/>
        </w:rPr>
        <w:t xml:space="preserve">,  íntegro pago del capital reclamado de </w:t>
      </w:r>
      <w:r>
        <w:rPr>
          <w:lang w:val="es-AR" w:eastAsia="es-AR" w:bidi="es-AR"/>
        </w:rPr>
        <w:t xml:space="preserve">PESOS TREINTA Y SIETE MIL SEISCIENTOS VEINTIDOS CON 62/100 ($37.622,62)</w:t>
      </w:r>
      <w:r>
        <w:rPr>
          <w:lang w:val="es-AR" w:eastAsia="es-AR" w:bidi="es-AR"/>
        </w:rPr>
        <w:t xml:space="preserve">, con más sus intereses calculados conforme  a  la  tasa que percibe el Banco de la Nación Argentina, en la fecha  de  pago, en sus operaciones de descuento (tasa activa) a partir de la  fecha de la mora: 05-05-16,  (Art.  52  Inc.  2do.  del Decreto Ley 5965/63).  Con costas.  Difirió la regulación de los honorarios de los profesionales intervinientes.</w:t>
      </w:r>
    </w:p>
    <w:p>
      <w:pPr>
        <w:pStyle w:val="[Normal]"/>
        <w:spacing w:line="360" w:lineRule="auto"/>
        <w:jc w:val="both"/>
        <w:rPr>
          <w:lang w:val="es-AR" w:eastAsia="es-AR" w:bidi="es-AR"/>
        </w:rPr>
      </w:pPr>
      <w:r>
        <w:rPr>
          <w:lang w:val="es-AR" w:eastAsia="es-AR" w:bidi="es-AR"/>
        </w:rPr>
        <w:t xml:space="preserve">	Disconforme con lo decidido apela la parte demandada el 24/07/2020, siendo fundado al momento de su interposición, y una vez agregada la cédula librada el 13/7/2020 es concedido el recurso en relación, ordenándose exprese agravios la parte actora, dando cumplimiento el apoderado de la misma en fecha 4/08/2020, en fecha se llama autos para resolver, providencia que firme a la fecha deja la causa en condiciones de ser fallada.	</w:t>
        <w:br w:type="textWrapping"/>
      </w:r>
      <w:r>
        <w:rPr>
          <w:lang w:val="es-AR" w:eastAsia="es-AR" w:bidi="es-AR"/>
        </w:rPr>
        <w:t xml:space="preserve"> 	En sustento de su crítica recursiva, la apelante adujo que tal como se manifestó oportunamente al contestar traslado y oponer excepciones, con la demanda de marras se intenta ejecutar la suma de $37.622,62.- mientras que el pagaré base de la acción asciende a la suma de $64.495,92.-, sin detallar los montos y fechas de los pagos realizados ni los conceptos a los cuales fueron imputados. Destaca que la actora se limita a manifestar solamente que ‘ejecuta el saldo adeudado´, que </w:t>
      </w:r>
      <w:r>
        <w:rPr>
          <w:rStyle w:val="U"/>
          <w:lang w:val="es-AR" w:eastAsia="es-AR" w:bidi="es-AR"/>
        </w:rPr>
        <w:t xml:space="preserve">no menciona cuotas, no detalla pagos, no indica fechas</w:t>
      </w:r>
      <w:r>
        <w:rPr>
          <w:lang w:val="es-AR" w:eastAsia="es-AR" w:bidi="es-AR"/>
        </w:rPr>
        <w:t xml:space="preserve">. Concluye en tal sentido que ello hace imposible el cálculo de lo supuestamente adeudado y por lo tanto imposibilita la defensa en juicio, pero primordialmente inhabilita al pagaré como título ejecutivo, por la ausencia de importe exigible líquido o fácilmente liquidable.</w:t>
      </w:r>
    </w:p>
    <w:p>
      <w:pPr>
        <w:pStyle w:val="[Normal]"/>
        <w:spacing w:line="360" w:lineRule="auto"/>
        <w:jc w:val="both"/>
        <w:rPr>
          <w:lang w:val="es-AR" w:eastAsia="es-AR" w:bidi="es-AR"/>
        </w:rPr>
      </w:pPr>
      <w:r>
        <w:rPr>
          <w:lang w:val="es-AR" w:eastAsia="es-AR" w:bidi="es-AR"/>
        </w:rPr>
        <w:t xml:space="preserve">	Por su parte, la parte actora contestó el traslado del recurso de apelación mediante escrito electrónico de fecha 29/7/2020. Se opuso a la queja del apelante y sostuvo en lo principal que como consecuencia de la cláusula de caducidad de plazos puede ejecutarse la totalidad de la deuda, por cuanto en virtud de ella se ha tornado </w:t>
      </w:r>
      <w:r>
        <w:rPr>
          <w:rStyle w:val="STRONG"/>
          <w:lang w:val="es-AR" w:eastAsia="es-AR" w:bidi="es-AR"/>
        </w:rPr>
        <w:t xml:space="preserve">exigible la obligación en su integridad como si fuera de plazo vencido</w:t>
      </w:r>
      <w:r>
        <w:rPr>
          <w:rStyle w:val="EM"/>
          <w:lang w:val="es-AR" w:eastAsia="es-AR" w:bidi="es-AR"/>
        </w:rPr>
        <w:t xml:space="preserve"> .</w:t>
      </w:r>
    </w:p>
    <w:p>
      <w:pPr>
        <w:pStyle w:val="[Normal]"/>
        <w:spacing w:line="360" w:lineRule="auto"/>
        <w:jc w:val="both"/>
        <w:rPr>
          <w:lang w:val="es-AR" w:eastAsia="es-AR" w:bidi="es-AR"/>
        </w:rPr>
      </w:pPr>
      <w:r>
        <w:rPr>
          <w:lang w:val="es-AR" w:eastAsia="es-AR" w:bidi="es-AR"/>
        </w:rPr>
        <w:t xml:space="preserve">	Entrando a resolver, anticipo que asiste razón al apelante en la crítica recursiva dirigida contra la sentencia apelada.	</w:t>
        <w:br w:type="textWrapping"/>
      </w:r>
      <w:r>
        <w:rPr>
          <w:lang w:val="es-AR" w:eastAsia="es-AR" w:bidi="es-AR"/>
        </w:rPr>
        <w:t xml:space="preserve">	En la sentencia objeto del presente recurso, el Juez de grado fundó la desestimación de la excepción de inhabilidad de título opuesta por la parte demandada mediante escrito electrónico de fecha 12/12/2019 en la circunstancia de que la supuesta falta de liquidez de la deuda que se pretendía cobrar por la vía ejecutiva no era tal, toda vez que “la demandada … pudo liquidar mediante dicho cálculo el monto adeudado, y si tenía algún cuestionamiento respecto de los pagos parciales efectuados debería haberlos atacado, sin embargo se limita a cuestionar la inhabilidad del título que aquí se pretende ejecutar por considerar la misma que no reúne el requisito de liquidez que debe pesar sobre la suma reclamada, y nada dice por el contrario respecto de los pagos efectuados”.	</w:t>
        <w:br w:type="textWrapping"/>
      </w:r>
      <w:r>
        <w:rPr>
          <w:lang w:val="es-AR" w:eastAsia="es-AR" w:bidi="es-AR"/>
        </w:rPr>
        <w:t xml:space="preserve"> 	Sin embargo, lo afirmado por el a quo se contrapone manifiestamente con las constancias obrantes en la causa, habida cuenta de que en oportunidad de evacuar el traslado correspondiente, la parte demandada cuestionó expresamente la falta de precisión temporal y objetiva de los actos solutorios invocados por el actor como presupuesto determinativo del monto ejecutable. A tal efecto, transcribo el extracto pertinente del escrito de oposición de excepciones presentado por la parte demandada: “(…) basta con advertir que la demanda se entabla por la suma de $37622,62.- mientras que el pagaré base de la acción asciende a la suma de $64.495,92.-, sin detallar los montos y fechas de los pagos realizados ni los conceptos a los cuales fueron imputados. Ello, hace imposible el cálculo de lo adeudado y por lo tanto imposibilita la defensa en juicio pero primordialmente inhabilita al pagaré como título ejecutivo, por la  AUSENCIA DE IMPORTE EXIGIBLE LÍQUIDO O FÁCILMENTE LIQUIDABLE”.	</w:t>
        <w:br w:type="textWrapping"/>
      </w:r>
      <w:r>
        <w:rPr>
          <w:lang w:val="es-AR" w:eastAsia="es-AR" w:bidi="es-AR"/>
        </w:rPr>
        <w:t xml:space="preserve"> 	Entiendo que ello comporta un vicio grave de fundamentación de la sentencia apelada por cuanto soslaya una alegación esencial de la parte demandada y atribuye a esa “omisión inexistente” efectos jurídicos relevantes sobre la decisión del caso. 	</w:t>
        <w:br w:type="textWrapping"/>
      </w:r>
      <w:r>
        <w:rPr>
          <w:lang w:val="es-AR" w:eastAsia="es-AR" w:bidi="es-AR"/>
        </w:rPr>
        <w:t xml:space="preserve"> 	Al respecto, no es ocioso referir que el control de logicidad de las resoluciones judiciales y de los actos procesales en general deviene como una consecuencia derivada del principio de razonabilidad (art. 1, 28, 31, 33, 75 inc. 22 de la CN). Esto implica que, desde el punto de vista lógico, la decisión debe ser el fruto de un acto de la razón, a fin de evitar fallos arbitrarios.	</w:t>
        <w:br w:type="textWrapping"/>
      </w:r>
      <w:r>
        <w:rPr>
          <w:lang w:val="es-AR" w:eastAsia="es-AR" w:bidi="es-AR"/>
        </w:rPr>
        <w:t xml:space="preserve"> 	Este tipo de control consiste en la revisión del razonamiento judicial a la luz de las reglas de la lógica para determinar si un acto procesal determinado se encuentra afectado por un vicio in cogitando de tipo lógico (cf. FERNÁNDEZ, Raúl Eduardo El control de logicidad de las resoluciones judiciales. Publicado en: LLC2011 (marzo), 117, Cita Online: AR/DOC/7243/2010).	</w:t>
        <w:br w:type="textWrapping"/>
      </w:r>
      <w:r>
        <w:rPr>
          <w:lang w:val="es-AR" w:eastAsia="es-AR" w:bidi="es-AR"/>
        </w:rPr>
        <w:t xml:space="preserve"> 	Un razonamiento para ser jurídico, debe ser necesariamente razonable; y para ser razonable, debe ser necesariamente lógico. Así pues un razonamiento es lógico cuando puede traducirse en una fórmula proposicional tal que, si en ella se sustituyen las variables por constantes del tipo a que ellas se refieren, el resultado será siempre una proposición lógicamente correcta. Para ello, será preciso que el razonamiento empleado en la resolución cuestionada respete las reglas de la lógica o, dicho en términos negativos, no se halla afectado por vicios in cogitando de tipo lógico.	</w:t>
        <w:br w:type="textWrapping"/>
      </w:r>
      <w:r>
        <w:rPr>
          <w:lang w:val="es-AR" w:eastAsia="es-AR" w:bidi="es-AR"/>
        </w:rPr>
        <w:t xml:space="preserve"> 	En la especie, la sentencia ha incurrido en una clara violación del principio lógico de razón suficiente. Este principio se sustenta en la idea de que todo juicio, para ser realmente verdadero necesita, forzosamente, una razón suficiente. La razón es suficiente cuando basta por sí sola para servir de apoyo completo a lo enunciado en el juicio; cuando no hace falta nada más para que el juicio sea plenamente verdadero.	</w:t>
        <w:br w:type="textWrapping"/>
      </w:r>
      <w:r>
        <w:rPr>
          <w:lang w:val="es-AR" w:eastAsia="es-AR" w:bidi="es-AR"/>
        </w:rPr>
        <w:t xml:space="preserve"> 	La más importante consecuencia jurídica del principio lógico de razón suficiente es el principio de razonabilidad que, en su vertiente judicial específica, se expresa en la necesidad de motivación de las sentencias judiciales. Dicha pauta reclama que toda decisión tenga suficiente sustento fáctico y jurídico, so pena de quedar comprometida la existencia y validez de la misma (PERELMAN, Chaim, "La lógica jurídica y la nueva retórica", Ed. Civitas, Madrid, 1979, p. 135-137). 	</w:t>
        <w:br w:type="textWrapping"/>
      </w:r>
      <w:r>
        <w:rPr>
          <w:lang w:val="es-AR" w:eastAsia="es-AR" w:bidi="es-AR"/>
        </w:rPr>
        <w:t xml:space="preserve">  	El principio lógico de razón suficiente no examina los fundamentos materiales de la decisión adoptada por el magistrado, sino más bien la apoyatura lógica de lo decidido en una razón distinta, suficiente e independiente de la propia decisión.	</w:t>
        <w:br w:type="textWrapping"/>
      </w:r>
      <w:r>
        <w:rPr>
          <w:lang w:val="es-AR" w:eastAsia="es-AR" w:bidi="es-AR"/>
        </w:rPr>
        <w:t xml:space="preserve"> 	Ciertamente no estarán debidamente motivadas aquellas sentencias que no expresen los fundamentos de hecho y de derecho que sustentan la decisión adoptada. E incluso los actos que prescinden de toda fundamentación jurídica seria o que incurren en un inexcusable error de derecho.	</w:t>
        <w:br w:type="textWrapping"/>
      </w:r>
      <w:r>
        <w:rPr>
          <w:lang w:val="es-AR" w:eastAsia="es-AR" w:bidi="es-AR"/>
        </w:rPr>
        <w:t xml:space="preserve"> 	Pero también la violación del principio de razón suficiente puede deberse a una falta o defecto de motivación. El primer supuesto se caracteriza por una ausencia total de razones tendientes a sustentar la decisión adoptada. El segundo consiste en una deficiencia en la motivación expresada que impide que ésta se constituya en sustento suficiente de lo decidido.	</w:t>
        <w:br w:type="textWrapping"/>
      </w:r>
      <w:r>
        <w:rPr>
          <w:lang w:val="es-AR" w:eastAsia="es-AR" w:bidi="es-AR"/>
        </w:rPr>
        <w:t xml:space="preserve"> 	A su vez, el defecto de motivación admite tres variantes posibles: la motivación aparente, insuficiente y defectuosa en sentido estricto. La primera tiene lugar cuando el magistrado fundamenta su decisión en hechos inexistentes, en pruebas no actuada, se limitó a describir los hechos analizados por las partes sin analizarlos ni confrontarlos con la prueba producida en la causa, o bien se soslayan afirmaciones, hechos o prueba que constan efectivamente en la causa. La segunda se da cuando no se alcanzan las bases mínimas que toda motivación debe reunir para ser realmente tal. Y la tercera tiene lugar cuando el razonamiento del juez viola las máximas de la experiencia y las reglas de la lógica (MOREA, Adrián, El control de logicidad de los actos procesales. Publicado en: SJA 31/07/2019, 31/07/2019, 3. Cita Online: AR/DOC/1570/2019).	</w:t>
        <w:br w:type="textWrapping"/>
      </w:r>
      <w:r>
        <w:rPr>
          <w:lang w:val="es-AR" w:eastAsia="es-AR" w:bidi="es-AR"/>
        </w:rPr>
        <w:t xml:space="preserve"> 	En el sub-lite, la fundamentación conferida a la sentencia comporta un supuesto de motivación aparente, por cuanto el Juzgador soslayó una alegación esencial de la parte demandada que operaba como fundamento de la procedencia de la excepción opuesta y, sobre la base de esa “no consideración”, justificó una solución desestimatoria de la excepción deducida y por ende favorable al acogimiento de la pretensión ejecutiva.	</w:t>
        <w:br w:type="textWrapping"/>
      </w:r>
      <w:r>
        <w:rPr>
          <w:lang w:val="es-AR" w:eastAsia="es-AR" w:bidi="es-AR"/>
        </w:rPr>
        <w:t xml:space="preserve"> 	Aclarado ello, no existe óbice alguno para aplicar el criterio sostenido por este Tribunal en la causa en la causa N° 3680-19 (sentencia del 19 de Noviembre de 2019) en la que sostuvo que: “el cumplimiento de los requisitos de forma exigidos por la ley cambiaria como los recaudos informativos del art. 36 de la LDC configuran una condición necesaria más no suficiente para la procedencia de la vía ejecutiva. Amén de ello, es preciso que el título que traiga aparejada ejecución se demandare por obligación exigible de dar cantidades de líquidas de dinero o fácilmente liquidables”.	</w:t>
        <w:br w:type="textWrapping"/>
      </w:r>
      <w:r>
        <w:rPr>
          <w:lang w:val="es-AR" w:eastAsia="es-AR" w:bidi="es-AR"/>
        </w:rPr>
        <w:t xml:space="preserve"> 	En virtud de lo expuesto, resulta atendible la crítica del apelante, en el sentido de que la falta de precisión de la fecha del pago a cuenta, sus montos e imputación a capital e intereses imposibilitaron el cálculo de lo adeudado. Tal observación deviene razonable por cuanto la incertidumbre correspondiente a las circunstancias temporales del pago parcial repercute sobre los alcances de la mora del deudor y en forma derivada en el cómputo de los intereses adeudados (art. 768 del CCyC).	</w:t>
        <w:br w:type="textWrapping"/>
      </w:r>
      <w:r>
        <w:rPr>
          <w:lang w:val="es-AR" w:eastAsia="es-AR" w:bidi="es-AR"/>
        </w:rPr>
        <w:t xml:space="preserve"> 	Dicho de otro modo, la imposibilidad de determinar el momento de un pago parcial "dificulta" la liquidación de la deuda. No es ocioso recordar en tal aspecto que un crédito es líquido cuando se encuentra definido en su cuantía de suerte que se sabe lo que se debe. Y resulta fácilmente liquidable cuando deviene determinable en su cuantía mediante sencillas operaciones aritméticas o a través de la revisión simple de libros (PIZARRO, Ramón Daniel, VALLESPINOS, Gustavo Carlos, Instituciones de Derecho Privado Obligaciones, Tomo III, Buenos Aires, Ed. Hammurabi, 2007, pag. 541).	</w:t>
        <w:br w:type="textWrapping"/>
      </w:r>
      <w:r>
        <w:rPr>
          <w:lang w:val="es-AR" w:eastAsia="es-AR" w:bidi="es-AR"/>
        </w:rPr>
        <w:t xml:space="preserve"> 	Es evidente que en la especie dado los términos en que fuera presentada la demanda, la definición de la cuantía final de la deuda no pudo abastecerse con simples cálculos o cotejos documentales, sino que exigía abrir una investigación de hecho para determinar el momento exacto del pago o los pagos parciales realizados por el demandado, lo que por otra parte excede el marco cognoscitivo acotado del juicio ejecutivo. Hete aquí la razón principal de mi disenso respecto a la afirmación realizada por el Juez de grado según la cual “la obligación resultaría fácilmente liquidable”.	</w:t>
        <w:br w:type="textWrapping"/>
      </w:r>
      <w:r>
        <w:rPr>
          <w:lang w:val="es-AR" w:eastAsia="es-AR" w:bidi="es-AR"/>
        </w:rPr>
        <w:t xml:space="preserve"> 	El mencionado déficit postulatorio adquiere especial relevancia en la solución del caso, toda vez que el pretenso ejecutante de un título ejecutivo tiene la carga de precisar todas aquellas circunstancias fácticas y jurídicas que resulten condicionantes de los requisitos de viabilidad del cobro ejecutivo. Uno de esos requisitos es el carácter líquido o fácilmente liquidable de la deuda objeto del juicio ejecutivo cuya debida observancia exige que de haber mediado pagos parciales se aclare el tiempo y el monto por el que hubiesen sido efectuados.	</w:t>
        <w:br w:type="textWrapping"/>
      </w:r>
      <w:r>
        <w:rPr>
          <w:lang w:val="es-AR" w:eastAsia="es-AR" w:bidi="es-AR"/>
        </w:rPr>
        <w:t xml:space="preserve"> 	En esta tónica, la Cámara de Apelaciones en lo Civil y Comercial de San Nicolás ha remarcado la relación de interdependencia lógica entre la carga postulatoria de las partes y el principio de congruencia procesal: "La sentencia ha de formularse de acuerdo a las constancias de la causa, conforme las acciones deducidas y los hechos alegados por las partes, por lo que se entiende que viola el principio de congruencia aquel fallo que decide sobre la pretensión del actor fundado en hechos ajenos a los alegados en la demanda. Introducir cuestiones, hechos o alegaciones sorpresivamente, de manera que las partes no hayan podido ejercer su plena defensa implica una clara violación al principio de congruencia y a la garantía de defensa en juicio" (Cámara de Apelaciones de San Nicolás, "Lanza, Valentina c/ Chamorro, Marcos Rodrigo y otros s/ Daños y Perjuicios", 04/04/2019).	</w:t>
        <w:br w:type="textWrapping"/>
      </w:r>
      <w:r>
        <w:rPr>
          <w:lang w:val="es-AR" w:eastAsia="es-AR" w:bidi="es-AR"/>
        </w:rPr>
        <w:t xml:space="preserve"> 	El requisito aludido no acarrea un juicio definitivo sobre la existencia de la obligación adeudada en el título ejecutivo, sino tan sólo implica que el reclamo del cobro del crédito por dicha vía no resulta procedente. Es por ello que la decisión propuesta no supone limitación y menos aún derogación de la abstracción cambiaria, puesto que la modificación de la sentencia que aquí propicio gira en torno a un requisito de procedencia de la vía ejecutiva y no respecto a la existencia de la obligación subyacente en la relación jurídica material de fondo.	</w:t>
      </w:r>
    </w:p>
    <w:p>
      <w:pPr>
        <w:pStyle w:val="[Normal]"/>
        <w:spacing w:line="360" w:lineRule="auto"/>
        <w:jc w:val="both"/>
        <w:rPr>
          <w:lang w:val="es-AR" w:eastAsia="es-AR" w:bidi="es-AR"/>
        </w:rPr>
      </w:pPr>
      <w:r>
        <w:rPr>
          <w:lang w:val="es-AR" w:eastAsia="es-AR" w:bidi="es-AR"/>
        </w:rPr>
        <w:t xml:space="preserve">Por último, considero que no resulta atendible el argumento desplegado por la parte actora en el sentido de que la cláusula de caducidad de plazos haría posible prescindir de la determinación de las circunstancias temporales y objetivas correspondientes a los pagos parciales realizados. Es que la pretensión de desconocer el efecto parcialmente cancelatorio de esta clase de pago con su consecuente impacto reductor sobre los intereses que devengue la obligación, aún cuando pueda ser operativo en el marco de relaciones jurídicas paritarias, no lo es en el ámbito del consumidor. Esto se debe a que dicha disposición importaría una cláusula abusiva por cuanto restringe los derechos del consumidor y amplía los de la otra parte (art. 37 inc. b), habida cuenta de que le impediría al tomador del crédito beneficiarse de los efectos morigerantes de la cancelación parcial del capital adeudado sobre los accesorios a devengarse.</w:t>
      </w:r>
    </w:p>
    <w:p>
      <w:pPr>
        <w:pStyle w:val="[Normal]"/>
        <w:spacing w:line="360" w:lineRule="auto"/>
        <w:jc w:val="both"/>
        <w:rPr>
          <w:lang w:val="es-AR" w:eastAsia="es-AR" w:bidi="es-AR"/>
        </w:rPr>
      </w:pPr>
      <w:r>
        <w:rPr>
          <w:lang w:val="es-AR" w:eastAsia="es-AR" w:bidi="es-AR"/>
        </w:rPr>
        <w:t xml:space="preserve">	En virtud de los motivos expuestos, entiendo que corresponde hacer lugar al recurso de apelación interpuesto por la parte demandada y dejar sin efecto la sentencia de trance y remate dictada con fecha 13/7/2020.	</w:t>
        <w:br w:type="textWrapping"/>
      </w:r>
      <w:r>
        <w:rPr>
          <w:lang w:val="es-AR" w:eastAsia="es-AR" w:bidi="es-AR"/>
        </w:rPr>
        <w:t xml:space="preserve"> 	Por las razones dadas, citas legales de referencia y con el alcance indicado,</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VOTO POR LA NEGATIVA.</w:t>
      </w:r>
      <w:r>
        <w:rPr>
          <w:lang w:val="es-AR" w:eastAsia="es-AR" w:bidi="es-AR"/>
        </w:rPr>
        <w:t xml:space="preserve">	</w:t>
      </w:r>
    </w:p>
    <w:p>
      <w:pPr>
        <w:pStyle w:val="[Normal]"/>
        <w:spacing w:line="360" w:lineRule="auto"/>
        <w:jc w:val="both"/>
        <w:rPr>
          <w:lang w:val="es-AR" w:eastAsia="es-AR" w:bidi="es-AR"/>
        </w:rPr>
      </w:pPr>
      <w:r>
        <w:rPr>
          <w:lang w:val="es-AR" w:eastAsia="es-AR" w:bidi="es-AR"/>
        </w:rPr>
        <w:t xml:space="preserve">	A la misma cuestión el Sr. Juez Bernardo Louise votó en disidencia y dijo:</w:t>
      </w:r>
    </w:p>
    <w:p>
      <w:pPr>
        <w:pStyle w:val="[Normal]"/>
        <w:spacing w:line="360" w:lineRule="auto"/>
        <w:jc w:val="both"/>
        <w:rPr>
          <w:lang w:val="es-AR" w:eastAsia="es-AR" w:bidi="es-AR"/>
        </w:rPr>
      </w:pPr>
      <w:r>
        <w:rPr>
          <w:lang w:val="es-AR" w:eastAsia="es-AR" w:bidi="es-AR"/>
        </w:rPr>
        <w:t xml:space="preserve"> 	Entrando a resolver, anticipo que no comparto los motivos expresados por el apelante en sustento de su crítica recursiva y tampoco he de coincidir con el criterio empleado por mi distinguido colega preopinante.	 	Conforme lo sostuve en mi voto en disidencia expresado en la causa 3971 en sentencia de fecha 3 de Septiembre de 2020, si al momento de despacharse la ejecución el Sr. juez advierte que la suma a ejecutar en el pagaré (denunciados pagos parciales) no es líquida o fácilmente liquidable, entiendo que lo ajustado no es rechazar la procedencia de la ejecución –como propicia mi colega preopinante- ni hacerla prosperar por la totalidad del capital reclamado, sino más bien diferir el tratamiento de dichos accesorios para la oportunidad del dictado de la sentencia y por ello corresponde tomar como monto del reclamo la suma del capital surgente del contrato.	</w:t>
        <w:br w:type="textWrapping"/>
      </w:r>
      <w:r>
        <w:rPr>
          <w:lang w:val="es-AR" w:eastAsia="es-AR" w:bidi="es-AR"/>
        </w:rPr>
        <w:t xml:space="preserve"> 	 Así lo dijo nuestro Superior Tribunal Provincial en la causa " Asociación Mutual Asís contra Cubilla, María Ester. Cobro ejecutivo" de fecha 14/08/19, C. 121.684 ) que venimos referenciando: " ... En el asunto a dirimir, tras inspeccionar el contrato de solicitud de préstamo (mutuo) que complementa al pagaré, la Cámara de Apelación valoró que merced a la integración de ambos documentos se cumplía con el art. 36 de la LDC. Por tal motivo desglosó del reclamo el monto del capital que surgía de dicho contrato y supeditó el pronunciamiento acerca de los intereses -rubro susceptible de revisión en caso de abuso o desproporción, art. 771, Código Civil y Comercial- para la oportunidad del dictado de la sentencia...".</w:t>
        <w:br w:type="textWrapping"/>
      </w:r>
      <w:r>
        <w:rPr>
          <w:lang w:val="es-AR" w:eastAsia="es-AR" w:bidi="es-AR"/>
        </w:rPr>
        <w:t xml:space="preserve"> 	Ello a mi ver, es por derecho el camino que correspondía transitar. En efecto, como el llamado " pagaré de consumo " es un titulo complejo que se integra o  puede ser integrado y frente a ello el Juzgador luego  de examinar los títulos constitutivos, el cumplimiento del art. 36 de la Ley de Consumo podía despachar la ejecución del pagaré o del mutuo.Así, si entendió  que el monto del pagaré, la suma no era líquida o fácilmente liquidable, podía examinar el documento base y de observar cumplidos los recaudos de la Ley del consumo podía iniciar la ejecución del monto neto y postergar el tema de los intereses para su oportunidad. Así en el mismo fallo que venimos señalando se siguió diciendo: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autónomamente, satisface las exigencias legales prescriptas en el estatuto del consumidor, podrá dar curso a la ejecución. Ello, claro está, sin desmedro del derecho del ejecutado de articular defensas, incluso centradas en el mencionado art. 36, tendientes a neutralizar la procedencia de la acción..." ( SCBA. c: 121.684 cit.).	</w:t>
        <w:br w:type="textWrapping"/>
      </w:r>
      <w:r>
        <w:rPr>
          <w:lang w:val="es-AR" w:eastAsia="es-AR" w:bidi="es-AR"/>
        </w:rPr>
        <w:t xml:space="preserve"> 	Ello es lo que a mi ver correspondía conforme la normativa de la Ley de Consumo, como del antecedente jurisprudencial citado y no cercenar el acceso a la jurisdicción.	</w:t>
        <w:br w:type="textWrapping"/>
      </w:r>
      <w:r>
        <w:rPr>
          <w:lang w:val="es-AR" w:eastAsia="es-AR" w:bidi="es-AR"/>
        </w:rPr>
        <w:t xml:space="preserve"> 	En suma,  considero que el monto por el que se ha de despachar la ejecución debe ser el  surgente  del  contrato de mutuo y en el  momento procesal que corresponda, se debe practicar liquidación de  los intereses pactados,  y deducir los pagos parciales, todo ello sujeto al control de la parte o de la jurisdicción.</w:t>
      </w:r>
    </w:p>
    <w:p>
      <w:pPr>
        <w:pStyle w:val="[Normal]"/>
        <w:spacing w:line="360" w:lineRule="auto"/>
        <w:jc w:val="both"/>
        <w:rPr>
          <w:lang w:val="es-AR" w:eastAsia="es-AR" w:bidi="es-AR"/>
        </w:rPr>
      </w:pPr>
      <w:r>
        <w:rPr>
          <w:lang w:val="es-AR" w:eastAsia="es-AR" w:bidi="es-AR"/>
        </w:rPr>
        <w:t xml:space="preserve">	Por las razones dadas, citas legales de referencia y con el alcance indicado,</w:t>
      </w:r>
    </w:p>
    <w:p>
      <w:pPr>
        <w:pStyle w:val="[Normal]"/>
        <w:spacing w:line="360" w:lineRule="auto"/>
        <w:jc w:val="both"/>
        <w:rPr>
          <w:lang w:val="es-AR" w:eastAsia="es-AR" w:bidi="es-AR"/>
        </w:rPr>
      </w:pPr>
      <w:r>
        <w:rPr>
          <w:lang w:val="es-AR" w:eastAsia="es-AR" w:bidi="es-AR"/>
        </w:rPr>
        <w:t xml:space="preserve">	Voto por la afirmativa.</w:t>
      </w:r>
    </w:p>
    <w:p>
      <w:pPr>
        <w:pStyle w:val="[Normal]"/>
        <w:spacing w:line="360" w:lineRule="auto"/>
        <w:jc w:val="both"/>
        <w:rPr>
          <w:lang w:val="es-AR" w:eastAsia="es-AR" w:bidi="es-AR"/>
        </w:rPr>
      </w:pPr>
      <w:r>
        <w:rPr>
          <w:lang w:val="es-AR" w:eastAsia="es-AR" w:bidi="es-AR"/>
        </w:rPr>
        <w:t xml:space="preserve">	A la misma cuestión la Sra. Jueza Graciela Scaraffía votó por análogos fundamentos en el mismo sentido que el señor Juez Roberto Degleue.</w:t>
      </w:r>
    </w:p>
    <w:p>
      <w:pPr>
        <w:pStyle w:val="[Normal]"/>
        <w:spacing w:line="360" w:lineRule="auto"/>
        <w:jc w:val="both"/>
        <w:rPr>
          <w:lang w:val="es-AR" w:eastAsia="es-AR" w:bidi="es-AR"/>
        </w:rPr>
      </w:pPr>
      <w:r>
        <w:rPr>
          <w:lang w:val="es-AR" w:eastAsia="es-AR" w:bidi="es-AR"/>
        </w:rPr>
        <w:t xml:space="preserve">	A la segunda cuestión el señor Juez Roberto Manuel Degleue dijo: de conformidad al resultado habido al tratarse la cuestión precedente, estimo que el pronunciamiento que corresponde dictar por mayoría es: </w:t>
      </w:r>
    </w:p>
    <w:p>
      <w:pPr>
        <w:pStyle w:val="[Normal]"/>
        <w:spacing w:line="360" w:lineRule="auto"/>
        <w:jc w:val="both"/>
        <w:rPr>
          <w:lang w:val="es-AR" w:eastAsia="es-AR" w:bidi="es-AR"/>
        </w:rPr>
      </w:pPr>
      <w:r>
        <w:rPr>
          <w:lang w:val="es-AR" w:eastAsia="es-AR" w:bidi="es-AR"/>
        </w:rPr>
        <w:t xml:space="preserve">	Hacer lugar al recurso de apelación deducido y en consecuencia dejar sin efecto el decisorio apelado con costas a la parte vencida (art. 69  CPCC).</w:t>
      </w:r>
    </w:p>
    <w:p>
      <w:pPr>
        <w:pStyle w:val="[Normal]"/>
        <w:spacing w:line="360" w:lineRule="auto"/>
        <w:jc w:val="both"/>
        <w:rPr>
          <w:lang w:val="es-AR" w:eastAsia="es-AR" w:bidi="es-AR"/>
        </w:rPr>
      </w:pPr>
      <w:r>
        <w:rPr>
          <w:b/>
          <w:lang w:val="es-AR" w:eastAsia="es-AR" w:bidi="es-AR"/>
        </w:rPr>
        <w:t xml:space="preserve">	ASI LO VOTO. </w:t>
      </w:r>
    </w:p>
    <w:p>
      <w:pPr>
        <w:pStyle w:val="[Normal]"/>
        <w:spacing w:line="360" w:lineRule="auto"/>
        <w:jc w:val="both"/>
        <w:rPr>
          <w:lang w:val="es-AR" w:eastAsia="es-AR" w:bidi="es-AR"/>
        </w:rPr>
      </w:pPr>
      <w:r>
        <w:rPr>
          <w:lang w:val="es-AR" w:eastAsia="es-AR" w:bidi="es-AR"/>
        </w:rPr>
        <w:t xml:space="preserve">	A la misma cuestión los Sres. Jueces Bernardo Louise y Graciela Scaraffia por análogos fundamentos votaron en el mismo sentido.-</w:t>
      </w:r>
    </w:p>
    <w:p>
      <w:pPr>
        <w:pStyle w:val="[Normal]"/>
        <w:spacing w:line="360" w:lineRule="auto"/>
        <w:jc w:val="both"/>
        <w:rPr>
          <w:lang w:val="es-AR" w:eastAsia="es-AR" w:bidi="es-AR"/>
        </w:rPr>
      </w:pPr>
      <w:r>
        <w:rPr>
          <w:lang w:val="es-AR" w:eastAsia="es-AR" w:bidi="es-AR"/>
        </w:rPr>
        <w:t xml:space="preserve">	Con lo que terminó el presente Acuerdo, dictándose la siguiente;</w:t>
      </w:r>
    </w:p>
    <w:p>
      <w:pPr>
        <w:pStyle w:val="[Normal]"/>
        <w:spacing w:line="360" w:lineRule="auto"/>
        <w:jc w:val="both"/>
        <w:rPr>
          <w:lang w:val="es-AR" w:eastAsia="es-AR" w:bidi="es-AR"/>
        </w:rPr>
      </w:pPr>
      <w:r>
        <w:rPr>
          <w:lang w:val="es-AR" w:eastAsia="es-AR" w:bidi="es-AR"/>
        </w:rPr>
        <w:t xml:space="preserve">	</w:t>
      </w:r>
      <w:r>
        <w:rPr>
          <w:b/>
          <w:u w:val="single"/>
          <w:lang w:val="es-AR" w:eastAsia="es-AR" w:bidi="es-AR"/>
        </w:rPr>
        <w:t xml:space="preserve">S E N T E N C I A:</w:t>
      </w:r>
    </w:p>
    <w:p>
      <w:pPr>
        <w:pStyle w:val="[Normal]"/>
        <w:spacing w:line="360" w:lineRule="auto"/>
        <w:jc w:val="both"/>
        <w:rPr>
          <w:lang w:val="es-AR" w:eastAsia="es-AR" w:bidi="es-AR"/>
        </w:rPr>
      </w:pPr>
      <w:r>
        <w:rPr>
          <w:lang w:val="es-AR" w:eastAsia="es-AR" w:bidi="es-AR"/>
        </w:rPr>
        <w:t xml:space="preserve">	Hacer lugar al recurso de apelación deducido y en consecuencia dejar sin efecto el decisorio apelado con costas a la parte vencida (art. 69  CPCC).</w:t>
      </w:r>
    </w:p>
    <w:p>
      <w:pPr>
        <w:pStyle w:val="[Normal]"/>
        <w:spacing w:line="360" w:lineRule="auto"/>
        <w:jc w:val="both"/>
        <w:rPr>
          <w:lang w:val="es-AR" w:eastAsia="es-AR" w:bidi="es-AR"/>
        </w:rPr>
      </w:pPr>
      <w:r>
        <w:rPr>
          <w:lang w:val="es-AR" w:eastAsia="es-AR" w:bidi="es-AR"/>
        </w:rPr>
        <w:t xml:space="preserve">	Regístrese. Notifíquese. Devuélvase.-</w:t>
      </w:r>
    </w:p>
    <w:p>
      <w:pPr>
        <w:pStyle w:val="[Normal]"/>
        <w:spacing w:line="360" w:lineRule="auto"/>
        <w:jc w:val="both"/>
        <w:rPr>
          <w:lang w:val="es-AR" w:eastAsia="es-AR" w:bidi="es-AR"/>
        </w:rPr>
      </w:pPr>
    </w:p>
    <w:p>
      <w:pPr>
        <w:pStyle w:val="[Normal]"/>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01/10/2020 09:17:51 -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01/10/2020 09:29:44 -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01/10/2020 09:37:04 -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01/10/2020 09:54:06 - Adrian Oscar Morea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‰8m")è$Âo.CŠ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247702090004977914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‰8m")è$Âo.CŠ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247702090004977914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