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b/>
          <w:lang w:val="es-AR" w:eastAsia="es-AR" w:bidi="es-AR"/>
        </w:rPr>
        <w:t xml:space="preserve">	Registro N° 156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	</w:t>
      </w:r>
      <w:r>
        <w:rPr>
          <w:b/>
          <w:lang w:val="es-AR" w:eastAsia="es-AR" w:bidi="es-AR"/>
        </w:rPr>
        <w:t xml:space="preserve">Fojas 985/991</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4035-20</w:t>
      </w:r>
      <w:r>
        <w:rPr>
          <w:lang w:val="es-AR" w:eastAsia="es-AR" w:bidi="es-AR"/>
        </w:rPr>
        <w:t xml:space="preserve"> caratulada </w:t>
      </w:r>
      <w:r>
        <w:rPr>
          <w:b/>
          <w:lang w:val="es-AR" w:eastAsia="es-AR" w:bidi="es-AR"/>
        </w:rPr>
        <w:t xml:space="preserve">"</w:t>
      </w:r>
      <w:r>
        <w:rPr>
          <w:b/>
          <w:color w:val="000000"/>
          <w:lang w:val="es-AR" w:eastAsia="es-AR" w:bidi="es-AR"/>
        </w:rPr>
        <w:t xml:space="preserve">CFN S.A.  C/ GAMARRA HUGO CONRADO S/ COBRO EJECUTIVO</w:t>
      </w:r>
      <w:r>
        <w:rPr>
          <w:b/>
          <w:lang w:val="es-AR" w:eastAsia="es-AR" w:bidi="es-AR"/>
        </w:rPr>
        <w:t xml:space="preserve">"</w:t>
      </w:r>
      <w:r>
        <w:rPr>
          <w:lang w:val="es-AR" w:eastAsia="es-AR" w:bidi="es-AR"/>
        </w:rPr>
        <w:t xml:space="preserve">, Expte. N° 85.279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dptal. se practicó el sorteo de ley que determinó que la votación debía efectuarse en el siguiente orden: </w:t>
      </w:r>
      <w:r>
        <w:rPr>
          <w:color w:val="000000"/>
          <w:lang w:val="es-AR" w:eastAsia="es-AR" w:bidi="es-AR"/>
        </w:rPr>
        <w:t xml:space="preserve">Louise-Degleue-Scaraffia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sz w:val="20"/>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Dr. Bernardo Louise  dijo:</w:t>
      </w:r>
    </w:p>
    <w:p>
      <w:pPr>
        <w:pStyle w:val="[Normal]"/>
        <w:spacing w:line="360" w:lineRule="auto"/>
        <w:ind w:firstLine="1134"/>
        <w:jc w:val="both"/>
        <w:rPr>
          <w:lang w:val="es-AR" w:eastAsia="es-AR" w:bidi="es-AR"/>
        </w:rPr>
      </w:pPr>
      <w:r>
        <w:rPr>
          <w:lang w:val="es-AR" w:eastAsia="es-AR" w:bidi="es-AR"/>
        </w:rPr>
        <w:t xml:space="preserve">Llegan los autos a esta Alzada por conducto del recurso de apelación interpuesto por la parte actora contra el auto del 19 de agosto de 2020 en el que se dispuso, que estando frente a un proceso ejecutivo de naturaleza consumeril en el que se acompaña el contrato de mutuo base, procede la preparación de vía ejecutiva y se intima al demandado de conformidad a los arts. 338 y 339 del Cod. Proc., para que en el término de (5) cinco días comparezca a efectuar el reconocimiento de firmas insertas en las condiciones del crédito, en los términos del art. 523 inc. 1 del C.P.C.C., bajo apercibimiento de lo dispuesto por el art. 524 del CPCC. </w:t>
      </w:r>
    </w:p>
    <w:p>
      <w:pPr>
        <w:pStyle w:val="[Normal]"/>
        <w:spacing w:line="360" w:lineRule="auto"/>
        <w:ind w:firstLine="1134"/>
        <w:jc w:val="both"/>
        <w:rPr>
          <w:lang w:val="es-AR" w:eastAsia="es-AR" w:bidi="es-AR"/>
        </w:rPr>
      </w:pPr>
      <w:r>
        <w:rPr>
          <w:lang w:val="es-AR" w:eastAsia="es-AR" w:bidi="es-AR"/>
        </w:rPr>
        <w:t xml:space="preserve">Se dejó constancia asimismo, que la ejecución en caso de corresponder se despachará por el importe del capital efectivamente prestado sin perjuicio de los gastos que en la etapa de ejecución de sentencia puedan incorporarse a la liquidación.</w:t>
      </w:r>
    </w:p>
    <w:p>
      <w:pPr>
        <w:pStyle w:val="[Normal]"/>
        <w:spacing w:line="360" w:lineRule="auto"/>
        <w:ind w:firstLine="1134"/>
        <w:jc w:val="both"/>
        <w:rPr>
          <w:lang w:val="es-AR" w:eastAsia="es-AR" w:bidi="es-AR"/>
        </w:rPr>
      </w:pPr>
      <w:r>
        <w:rPr>
          <w:lang w:val="es-AR" w:eastAsia="es-AR" w:bidi="es-AR"/>
        </w:rPr>
        <w:t xml:space="preserve"> Señaló la Juzgadora que de la simple lectura del pagaré, se observa que no existe equivalencia entre el contenido de éste y las condiciones del crédito pues difiere el capital adeudado.</w:t>
      </w:r>
    </w:p>
    <w:p>
      <w:pPr>
        <w:pStyle w:val="[Normal]"/>
        <w:spacing w:line="360" w:lineRule="auto"/>
        <w:ind w:firstLine="1134"/>
        <w:jc w:val="both"/>
        <w:rPr>
          <w:lang w:val="es-AR" w:eastAsia="es-AR" w:bidi="es-AR"/>
        </w:rPr>
      </w:pPr>
      <w:r>
        <w:rPr>
          <w:lang w:val="es-AR" w:eastAsia="es-AR" w:bidi="es-AR"/>
        </w:rPr>
        <w:t xml:space="preserve">	Cita el fallo del Superior Tribunal provincial, C 121.684 14/08/2019, "Asociación Mutual Asís contra Cubilla, María Ester s/ Cobro Ejecutivo" en el que se dijera que  no contraviene los parámetros fijados en la materia, el examen del contrato de solicitud de préstamo (mutuo) que complementa al pagaré, a efectos de valorar si merced a la integración de ambos documentos se cumple con el art. 36 de la LDC y luego de ello desglosar del reclamo el monto del capital que surge de dicho contrato y supeditar el pronunciamiento acerca de intereses -rubro susceptible de revisión en caso de abuso o desproporción, art. 771, Código Civil y Comercial- para la oportunidad del dictado de la sentencia.</w:t>
      </w:r>
    </w:p>
    <w:p>
      <w:pPr>
        <w:pStyle w:val="[Normal]"/>
        <w:spacing w:line="360" w:lineRule="auto"/>
        <w:ind w:firstLine="1134"/>
        <w:jc w:val="both"/>
        <w:rPr>
          <w:lang w:val="es-AR" w:eastAsia="es-AR" w:bidi="es-AR"/>
        </w:rPr>
      </w:pPr>
      <w:r>
        <w:rPr>
          <w:lang w:val="es-AR" w:eastAsia="es-AR" w:bidi="es-AR"/>
        </w:rPr>
        <w:t xml:space="preserve">Contra dicho auto, se alza la parte actora por medio de presentación electrónica de fecha 21/8/2020 en la que interpone revisión y en subsidio recurso de apelación. El juzgador en fecha 25 de agosto de 2020, rechaza la primera y concede la segunda, llamándose a autos para resolver en fecha 3/9/ 2020, providencia que firme a la fecha deja a la causa en condiciones de ser fallada (arts. 263/267 del CPC., cc. arts. 168 y 171 de la Constitución de la Provincia de Buenos Aires).</w:t>
      </w:r>
    </w:p>
    <w:p>
      <w:pPr>
        <w:pStyle w:val="[Normal]"/>
        <w:spacing w:line="360" w:lineRule="auto"/>
        <w:ind w:firstLine="1134"/>
        <w:jc w:val="both"/>
        <w:rPr>
          <w:rStyle w:val="EM"/>
          <w:lang w:val="es-AR" w:eastAsia="es-AR" w:bidi="es-AR"/>
        </w:rPr>
      </w:pPr>
      <w:r>
        <w:rPr>
          <w:lang w:val="es-AR" w:eastAsia="es-AR" w:bidi="es-AR"/>
        </w:rPr>
        <w:t xml:space="preserve">La actora se agravia poniendo de relieve que lo</w:t>
      </w:r>
      <w:r>
        <w:rPr>
          <w:lang w:val="es-AR" w:eastAsia="es-AR" w:bidi="es-AR"/>
        </w:rPr>
        <w:t xml:space="preserve"> que se pretende ejecutar aquí es un pagaré, un título ejecutivo conforme lo normado por el art 521 inc 5to del CPCC., siendo un título ejecutivo pero reconfigurado por la ley 24.240. Cita fallo de este Tribunal en causa "Pardo S.A. C/ Mazor, Walter Daniel s/ Cobro ejecutivo" 21/07/2020 en la que se aludiera a antecedente del Superior provincial</w:t>
      </w:r>
      <w:r>
        <w:rPr>
          <w:rStyle w:val="EM"/>
          <w:lang w:val="es-AR" w:eastAsia="es-AR" w:bidi="es-AR"/>
        </w:rPr>
        <w:t xml:space="preserve"> en la causa "Recupero On Line S.A. C/ Vera Jose Roberto S/ Cobro Ejecutivo" de fecha 18/09/2019, en orden a que "...no se desprende la necesaria exigibilidad de la preparación de la vía ejecutiva en orden a la ejecución del pagaré de consumo, sino simplemente la facultad judicial de requerir el acompañamiento de la documentación a través de la vía procesal pertinente en caso de que hubiese sido omitida.</w:t>
      </w:r>
    </w:p>
    <w:p>
      <w:pPr>
        <w:pStyle w:val="[Normal]"/>
        <w:spacing w:line="360" w:lineRule="auto"/>
        <w:ind w:firstLine="1134"/>
        <w:jc w:val="both"/>
        <w:rPr>
          <w:lang w:val="es-AR" w:eastAsia="es-AR" w:bidi="es-AR"/>
        </w:rPr>
      </w:pPr>
      <w:r>
        <w:rPr>
          <w:lang w:val="es-AR" w:eastAsia="es-AR" w:bidi="es-AR"/>
        </w:rPr>
        <w:t xml:space="preserve">Hace referencia también a lo decidido por la Sala 1ra de la Cámara de Azul de fecha 12-5-2019 in re "ALARFIN SA c/ ROJAS Pablo Alfredo s/ Ejecución Prendaria", respecto de la aplicación del sistema normativo de derecho del consumidor a las ejecuciones: "…</w:t>
      </w:r>
      <w:r>
        <w:rPr>
          <w:rStyle w:val="EM"/>
          <w:lang w:val="es-AR" w:eastAsia="es-AR" w:bidi="es-AR"/>
        </w:rPr>
        <w:t xml:space="preserve">ante supuestos como el de marras, donde el ejecutante acompaña documentación integrativa en la que expresamente dice cumplir con las exigencias del art. 36 LDC (ver cláusula segunda del documento de fs. 8), el juez debe dar trámite a la vía ejecutiva (arts. 518, 521, 529 y ccdtes. CPCC) ordenándose el respectivo mandamiento de intimación de pago y embargo.- Y en oportunidad de dictar sentencia, advertidas que fueran las contradicciones o insuficiencia de la información brindada al efecto, deberá resolverse en el sentido más favorable al consumidor</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Sostiene que esta solución consagra el principio protectorio del consumidor y por otro lado también se protege al pagaré como título de crédito y dentro del juicio ejecutivo. Ello a su entender, implica una armonización de fuentes que no desnaturaliza el juicio ejecutivo sino que concierta las reglas y principios del derecho cambiario, con las reglas del consumo.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Peticiona se revoque la orden de preparación de la vía ejecutiva y se de curso a la ejecución librándose el mandamiento de citación de remate.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i/>
          <w:lang w:val="es-AR" w:eastAsia="es-AR" w:bidi="es-AR"/>
        </w:rPr>
      </w:pPr>
      <w:r>
        <w:rPr>
          <w:lang w:val="es-AR" w:eastAsia="es-AR" w:bidi="es-AR"/>
        </w:rPr>
        <w:t xml:space="preserve">E</w:t>
      </w:r>
      <w:r>
        <w:rPr>
          <w:lang w:val="es-AR" w:eastAsia="es-AR" w:bidi="es-AR"/>
        </w:rPr>
        <w:t xml:space="preserve">n tarea de resolver, por analogía de la cuestión traída he de reiterar lo ya expuesto en las causas N°3885 y 3890: </w:t>
      </w:r>
      <w:r>
        <w:rPr>
          <w:i/>
          <w:lang w:val="es-AR" w:eastAsia="es-AR" w:bidi="es-AR"/>
        </w:rPr>
        <w:t xml:space="preserve">"...es preciso comenzar recordando que esta Cámara resolvió en la causa N° 3741-19  caratulada: "Pardo S.A. C/ Battellini s/ Cobro Ejecutivo" que correspondía revocar la decisión del Juez primero en la que intimó al ejecutado a efectuar el reconocimiento que determina el art. 523 inc. 1 del CPCC con carácter previo a dar trámite a la pretensión ejecutiva del pagaré de consumo, con base en que el ejecutante había acompañado la documentación complementaria a fs. 16 y 19 (solicitudes de crédito), dirigida a satisfacer lo dispuesto en la normativa de consumo y por tanto correspondía proceder a verificar tal extremo sin que ello importe la necesidad de requerir reconocimiento de firma de la ejecutada en la documental accesoria traída."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En sustento de la innecesariedad de la preparación de la vía, este Tribunal había citado un precedente de la Sala Primera de la Cámara Segunda en lo Civil y Comercial de La Plata (causa 123337 RSD 74/2018) en el que se decidió que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lang w:val="es-AR" w:eastAsia="es-AR" w:bidi="es-AR"/>
        </w:rPr>
      </w:pPr>
      <w:r>
        <w:rPr>
          <w:lang w:val="es-AR" w:eastAsia="es-AR" w:bidi="es-AR"/>
        </w:rPr>
        <w:t xml:space="preserve">Sin embargo, con posterioridad al fallo de referencia, la Casación Provincial tuvo oportunidad de pronunciarse específicamente sobre esta cuestión en la causa "Recupero On Line S.A. C/ Vera Jose Roberto S/ Cobro Ejecutivo" de fecha 18/09/2019, en la que el objeto de la ejecución era precisamente un pagaré de consumo. En el citado precedente, la Suprema Corte de la Provincia de Buenos Aires reconoció ampliamente la facultad de los jueces para examinar si los papeles cambiarios acompañados reúnen los recaudos previstos por el art. 36 y, en lo que aquí interesa, para ordenar si lo juzga necesario, su acompañamiento a través de la vía procesal pertinente (art. 523 CPCC)  si no se hubiese procedido a ello: </w:t>
      </w:r>
      <w:r>
        <w:rPr>
          <w:i/>
          <w:lang w:val="es-AR" w:eastAsia="es-AR" w:bidi="es-AR"/>
        </w:rPr>
        <w:t xml:space="preserve">"...los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w:t>
      </w:r>
      <w:r>
        <w:rPr>
          <w:lang w:val="es-AR" w:eastAsia="es-AR" w:bidi="es-AR"/>
        </w:rPr>
        <w:t xml:space="preserve"> </w:t>
      </w:r>
      <w:r>
        <w:rPr>
          <w:i/>
          <w:lang w:val="es-AR" w:eastAsia="es-AR" w:bidi="es-AR"/>
        </w:rPr>
        <w:t xml:space="preserve">(arts. 34 inc. 5, apdo. "b", 36 inc. 2 y 523, CPCC)"</w:t>
      </w:r>
      <w:r>
        <w:rPr>
          <w:lang w:val="es-AR" w:eastAsia="es-AR" w:bidi="es-AR"/>
        </w:rPr>
        <w:t xml:space="preserve">. Este criterio fue ratificado con fecha 16 de Octubre de 2019 en la causa n° 122.155 caratulada "Banco Columbia S.A. C/ Barreto Juan Manuel S/ Cobro Ejecutivo".</w:t>
      </w:r>
    </w:p>
    <w:p>
      <w:pPr>
        <w:pStyle w:val="[Normal]"/>
        <w:spacing w:line="360" w:lineRule="auto"/>
        <w:ind w:firstLine="1134"/>
        <w:jc w:val="both"/>
        <w:rPr>
          <w:lang w:val="es-AR" w:eastAsia="es-AR" w:bidi="es-AR"/>
        </w:rPr>
      </w:pPr>
      <w:r>
        <w:rPr>
          <w:lang w:val="es-AR" w:eastAsia="es-AR" w:bidi="es-AR"/>
        </w:rPr>
        <w:t xml:space="preserve">En función de lo expuesto, entiendo que el Alto Tribunal ha hecho una especificación concreta de la doctrina legal sentada en la causa "Asociación Mutual Asís" (sent. de 14-VIII-2019, n° n° 121.684) en el sentido de legitimar la preparación de la vía como una medida ordenatoria válida (no necesariamente obligatoria) dentro del marco de atribuciones que el ordenamiento jurídico le confiere al juez para controlar la habilidad del pagaré de consumo. 	 </w:t>
      </w:r>
    </w:p>
    <w:p>
      <w:pPr>
        <w:pStyle w:val="[Normal]"/>
        <w:spacing w:line="360" w:lineRule="auto"/>
        <w:ind w:firstLine="1134"/>
        <w:jc w:val="both"/>
        <w:rPr>
          <w:lang w:val="es-AR" w:eastAsia="es-AR" w:bidi="es-AR"/>
        </w:rPr>
      </w:pPr>
      <w:r>
        <w:rPr>
          <w:lang w:val="es-AR" w:eastAsia="es-AR" w:bidi="es-AR"/>
        </w:rPr>
        <w:t xml:space="preserve">Asimismo, considero que en la especie no concurren razones objetivas, determinantes y suficientes para apartarme de lo dicho por la Casación Provincial, toda vez que la decisión de convalidar la exigencia de la preparación de la vía ejecutiva constituye una opción hermenéutica posible dentro del marco de alternativas interpretativas jurídicamente válidas.</w:t>
      </w:r>
    </w:p>
    <w:p>
      <w:pPr>
        <w:pStyle w:val="[Normal]"/>
        <w:spacing w:line="360" w:lineRule="auto"/>
        <w:ind w:firstLine="1134"/>
        <w:jc w:val="both"/>
        <w:rPr>
          <w:lang w:val="es-AR" w:eastAsia="es-AR" w:bidi="es-AR"/>
        </w:rPr>
      </w:pPr>
      <w:r>
        <w:rPr>
          <w:lang w:val="es-AR" w:eastAsia="es-AR" w:bidi="es-AR"/>
        </w:rPr>
        <w:t xml:space="preserve">Como consecuencia lógica de lo dicho hasta aquí, entiendo que el decisorio recurrido revela una adecuación objetiva con el criterio sentado por la Corte.</w:t>
      </w:r>
    </w:p>
    <w:p>
      <w:pPr>
        <w:pStyle w:val="[Normal]"/>
        <w:spacing w:line="360" w:lineRule="auto"/>
        <w:ind w:firstLine="1134"/>
        <w:jc w:val="both"/>
        <w:rPr>
          <w:lang w:val="es-AR" w:eastAsia="es-AR" w:bidi="es-AR"/>
        </w:rPr>
      </w:pPr>
      <w:r>
        <w:rPr>
          <w:lang w:val="es-AR" w:eastAsia="es-AR" w:bidi="es-AR"/>
        </w:rPr>
        <w:t xml:space="preserve">A mayor abundamiento, he de recordar que la SCBA ha dicho que: </w:t>
      </w:r>
      <w:r>
        <w:rPr>
          <w:i/>
          <w:lang w:val="es-AR" w:eastAsia="es-AR" w:bidi="es-AR"/>
        </w:rPr>
        <w:t xml:space="preserve">"El acatamiento que los tribunales hacen a la doctrina legal de esta Corte responde al objetivo del recurso extraordinario de inaplicabidad de ley, esto es procurar y mantener la unidad en la jurisprudencia, y este propósito se frustraría si los tribunales de grado, apartándose del criterio de la Corte, insistieran en propugnar soluciones que irremisiblemente habrían de ser casadas. Ello no significa propiciar un ciego seguimiento a los pronunciamientos de esta Corte, ni un menoscabo del deber de los jueces de fallar según su ciencia y conciencia, pues les basta -llegado el caso- dejar a salvo sus opiniones personales".</w:t>
      </w:r>
      <w:r>
        <w:rPr>
          <w:lang w:val="es-AR" w:eastAsia="es-AR" w:bidi="es-AR"/>
        </w:rPr>
        <w:t xml:space="preserve"> (cfr. SCBA, Ac.42965, S 27-11-90 Ac. 48428 S 17-2-98, entre otros, JUBA Sum B 21335, CAP, Causa Nº 6554/08 RSD Nº 19/09 del 9/3/09). </w:t>
      </w:r>
    </w:p>
    <w:p>
      <w:pPr>
        <w:pStyle w:val="[Normal]"/>
        <w:spacing w:line="360" w:lineRule="auto"/>
        <w:ind w:firstLine="1134"/>
        <w:jc w:val="both"/>
        <w:rPr>
          <w:lang w:val="es-AR" w:eastAsia="es-AR" w:bidi="es-AR"/>
        </w:rPr>
      </w:pPr>
      <w:r>
        <w:rPr>
          <w:lang w:val="es-AR" w:eastAsia="es-AR" w:bidi="es-AR"/>
        </w:rPr>
        <w:t xml:space="preserve">Desde una perspectiva sistémica, no es ocioso referir también que la solución propiciada por la Casación Provincial se halla en línea con el régimen jurídico aplicable a los instrumentos privados de acuerdo al cual el reconocimiento de la firma es condición necesaria para hacer valer un documento de esta naturaleza en juicio. Al respecto, el art. 314 del CCyC dispone:</w:t>
      </w:r>
      <w:r>
        <w:rPr>
          <w:i/>
          <w:lang w:val="es-AR" w:eastAsia="es-AR" w:bidi="es-AR"/>
        </w:rPr>
        <w:t xml:space="preserve"> "Reconocimiento de la firma. Todo aquel contra quien se presente un instrumento cuya firma se le atribuye debe manifestar si ésta le pertenece"</w:t>
      </w:r>
      <w:r>
        <w:rPr>
          <w:lang w:val="es-AR" w:eastAsia="es-AR" w:bidi="es-AR"/>
        </w:rPr>
        <w:t xml:space="preserve">. Así pues, la norma recoge idéntica solución que la prevista en el art. 1028 CC a partir de la inescindibilidad entre el reconocimiento de la firma y el reconocimiento del cuerpo del instrumento. </w:t>
      </w:r>
    </w:p>
    <w:p>
      <w:pPr>
        <w:pStyle w:val="[Normal]"/>
        <w:spacing w:line="360" w:lineRule="auto"/>
        <w:ind w:firstLine="1134"/>
        <w:jc w:val="both"/>
        <w:rPr>
          <w:lang w:val="es-AR" w:eastAsia="es-AR" w:bidi="es-AR"/>
        </w:rPr>
      </w:pPr>
      <w:r>
        <w:rPr>
          <w:lang w:val="es-AR" w:eastAsia="es-AR" w:bidi="es-AR"/>
        </w:rPr>
        <w:t xml:space="preserve">Finalmente, considero que en la presente causa tratándose de un proceso concerniente a la defensa de los derechos de usuarios y consumidores, antes del dictado de sentencia que resuelve sobre el fondo del asunto, corresponderá dar vista al Ministerio Fiscal de acuerdo con los argumentos que expresara en mi voto en causa N° 3852-20  caratulada "Salituri, Esteban Nicolás c/ Telecom Personal S.A. S/ Daños y Perj. Incump. Contractual (Exc. Estado)".</w:t>
      </w:r>
    </w:p>
    <w:p>
      <w:pPr>
        <w:pStyle w:val="[Normal]"/>
        <w:spacing w:line="360" w:lineRule="auto"/>
        <w:ind w:firstLine="1134"/>
        <w:jc w:val="both"/>
        <w:rPr>
          <w:lang w:val="es-AR" w:eastAsia="es-AR" w:bidi="es-AR"/>
        </w:rPr>
      </w:pPr>
      <w:r>
        <w:rPr>
          <w:lang w:val="es-AR" w:eastAsia="es-AR" w:bidi="es-AR"/>
        </w:rPr>
        <w:t xml:space="preserve">En virtud de lo expuesto, soy de opinión que corresponde confirmar la decisión adoptada en la instancia de origen y rechazar la apelación deducida.</w:t>
      </w:r>
    </w:p>
    <w:p>
      <w:pPr>
        <w:pStyle w:val="[Normal]"/>
        <w:spacing w:line="360" w:lineRule="auto"/>
        <w:ind w:firstLine="1134"/>
        <w:jc w:val="both"/>
        <w:rPr>
          <w:b/>
          <w:lang w:val="es-AR" w:eastAsia="es-AR" w:bidi="es-AR"/>
        </w:rPr>
      </w:pPr>
      <w:r>
        <w:rPr>
          <w:lang w:val="es-AR" w:eastAsia="es-AR" w:bidi="es-AR"/>
        </w:rPr>
        <w:t xml:space="preserve">He de señalar a todo evento que en su caso, la ejecución debe  prosperar únicamente por el saldo puro del capital previsto en el contrato de mutuo, adicionándose los intereses pactados recién al tiempo de la liquidación pertinente en cuya oportunidad procederá el control de la parte y de la jurisdicción pues es sabido que en el presente tema se halla en juego el orden público.</w:t>
      </w:r>
    </w:p>
    <w:p>
      <w:pPr>
        <w:pStyle w:val="[Normal]"/>
        <w:spacing w:line="360" w:lineRule="auto"/>
        <w:ind w:firstLine="1134"/>
        <w:jc w:val="both"/>
        <w:rPr>
          <w:lang w:val="es-AR" w:eastAsia="es-AR" w:bidi="es-AR"/>
        </w:rPr>
      </w:pPr>
      <w:r>
        <w:rPr>
          <w:lang w:val="es-AR" w:eastAsia="es-AR" w:bidi="es-AR"/>
        </w:rPr>
        <w:t xml:space="preserve">Los intereses son accesorios que se derivan por la percepción de una suma de  dinero que es propiedad de un tercero, al que le ha de ser restituida y se califican como compensatorios, moratorios, punitorios.  (arts. 767, 768 y 769 C.C.C.).</w:t>
      </w:r>
    </w:p>
    <w:p>
      <w:pPr>
        <w:pStyle w:val="[Normal]"/>
        <w:spacing w:line="360" w:lineRule="auto"/>
        <w:ind w:firstLine="1134"/>
        <w:jc w:val="both"/>
        <w:rPr>
          <w:lang w:val="es-AR" w:eastAsia="es-AR" w:bidi="es-AR"/>
        </w:rPr>
      </w:pPr>
      <w:r>
        <w:rPr>
          <w:lang w:val="es-AR" w:eastAsia="es-AR" w:bidi="es-AR"/>
        </w:rPr>
        <w:t xml:space="preserve"> En nuestro ordenamiento jurídico por principio general, no se deben intereses de los intereses excepto que:"... a ) una cláusula expresa autorice la acumulación de los intereses al capital con una periodicidad no inferior a seis meses..." ( art. 770 del C.C.C.).</w:t>
      </w:r>
    </w:p>
    <w:p>
      <w:pPr>
        <w:pStyle w:val="[Normal]"/>
        <w:spacing w:line="360" w:lineRule="auto"/>
        <w:ind w:firstLine="1134"/>
        <w:jc w:val="both"/>
        <w:rPr>
          <w:lang w:val="es-AR" w:eastAsia="es-AR" w:bidi="es-AR"/>
        </w:rPr>
      </w:pPr>
      <w:r>
        <w:rPr>
          <w:lang w:val="es-AR" w:eastAsia="es-AR" w:bidi="es-AR"/>
        </w:rPr>
        <w:t xml:space="preserve">Ahora, seguidamente el 771 del mismo cuerpo legal, en punto a las facultades judiciales, dice que: "...Los jueces pueden reducir los intereses cuando la tasa fijada o el resultado que provoque la capitalización de intereses excede, sin justificación y desproporcionadamente, el costo medio del dinero para deudores y operaciones similares en el lugar donde se contrajo la obligación. Los intereses pagados en exceso se imputan al capital y, una vez extinguido éste, pueden ser repetidos...".</w:t>
      </w:r>
    </w:p>
    <w:p>
      <w:pPr>
        <w:pStyle w:val="[Normal]"/>
        <w:spacing w:line="360" w:lineRule="auto"/>
        <w:ind w:firstLine="1134"/>
        <w:jc w:val="both"/>
        <w:rPr>
          <w:lang w:val="es-AR" w:eastAsia="es-AR" w:bidi="es-AR"/>
        </w:rPr>
      </w:pPr>
      <w:r>
        <w:rPr>
          <w:lang w:val="es-AR" w:eastAsia="es-AR" w:bidi="es-AR"/>
        </w:rPr>
        <w:t xml:space="preserve">Sentado ello, como los mismos son accesorios del capital al que acceden, previamente en sentencia ha de determinarse el primero y diferirse lo accesorio para la oportunidad procesal pertinente en donde claramente, la parte eventualmente pueda impugnar o el juez pueda hacer uso de las facultades que edita el citado art. 771 del C.C.C., que se extiende  los intereses como a su capitalización.</w:t>
      </w:r>
    </w:p>
    <w:p>
      <w:pPr>
        <w:pStyle w:val="[Normal]"/>
        <w:spacing w:line="360" w:lineRule="auto"/>
        <w:ind w:firstLine="1134"/>
        <w:jc w:val="both"/>
        <w:rPr>
          <w:lang w:val="es-AR" w:eastAsia="es-AR" w:bidi="es-AR"/>
        </w:rPr>
      </w:pPr>
      <w:r>
        <w:rPr>
          <w:lang w:val="es-AR" w:eastAsia="es-AR" w:bidi="es-AR"/>
        </w:rPr>
        <w:t xml:space="preserve">Por otro lado, la sentencia de trance y remate ( art. 549 CPC.) ha de determinar el capital, la mora, y fijar las bases para liquidar intereses pues como se ha dicho: "...Si bien la sentencia ha de contener pronunciamiento sobre los intereses, debiendo establecer las bases necesarias para su oportuna liquidación, la condena en ella decretada ha de referirse al capital resultante del título, sin acumular los intereses del mismo, pues tal temperamento permitiría violar la prohibición legal del anatocismo, sin haber mediado la previa intimación que lo tornara procendente ( art. 623 C.C.) ..."  ( Cám. 1, sla II LP., causa 150.190 cit. Morello: " Códs. T. VI. B. p. 415 ). En nuestro caso, nótese que aún el instrumento ( contrato de mutuo ) no se halla siquiera reconocido y en el caso de llevar adelante la ejecución sobre un capital ya amortizado o capitalizado, el mismo quedaría por esta vía, exento del control jurisdiccional.</w:t>
      </w:r>
    </w:p>
    <w:p>
      <w:pPr>
        <w:pStyle w:val="[Normal]"/>
        <w:spacing w:line="360" w:lineRule="auto"/>
        <w:ind w:firstLine="1134"/>
        <w:jc w:val="both"/>
        <w:rPr>
          <w:lang w:val="es-AR" w:eastAsia="es-AR" w:bidi="es-AR"/>
        </w:rPr>
      </w:pPr>
      <w:r>
        <w:rPr>
          <w:lang w:val="es-AR" w:eastAsia="es-AR" w:bidi="es-AR"/>
        </w:rPr>
        <w:t xml:space="preserve">También se ha dicho: "... Este tipo de pronunciamiento, por lo tanto, debe ser completo, o sea que cuando estima la acción ha de indicar la cantidad que se condena a pagar y el de sus accesorios, porque en ellas debe establecerse "las bases jurídicas de lo realmente adeudado" a fin de que la liquidación que se practique posteriormente opere como "una computación aritmética y no jurídica del monto que se reclama, por donde supone los elementos de criterio con arreglo a las cuales de ser practicada... "( L.L. 1991, v. C. p. 279 ). </w:t>
      </w:r>
    </w:p>
    <w:p>
      <w:pPr>
        <w:pStyle w:val="[Normal]"/>
        <w:spacing w:line="360" w:lineRule="auto"/>
        <w:ind w:firstLine="1134"/>
        <w:jc w:val="both"/>
        <w:rPr>
          <w:lang w:val="es-AR" w:eastAsia="es-AR" w:bidi="es-AR"/>
        </w:rPr>
      </w:pPr>
      <w:r>
        <w:rPr>
          <w:lang w:val="es-AR" w:eastAsia="es-AR" w:bidi="es-AR"/>
        </w:rPr>
        <w:t xml:space="preserve">En consonancia con ello, el art. 165 del CPCC  dispone que cuando la sentencia contenga una condena al pago de frutos, intereses el  juez debe determinar -como en el caso de autos- el importe en cantidad líquida y en cuanto a los intereses deberá determinar la tasa,  el lapso o establecer por lo menos las bases sobre las que haya de hacerse la liquidación.</w:t>
      </w:r>
    </w:p>
    <w:p>
      <w:pPr>
        <w:pStyle w:val="[Normal]"/>
        <w:spacing w:line="360" w:lineRule="auto"/>
        <w:ind w:firstLine="1134"/>
        <w:jc w:val="both"/>
        <w:rPr>
          <w:lang w:val="es-AR" w:eastAsia="es-AR" w:bidi="es-AR"/>
        </w:rPr>
      </w:pPr>
      <w:r>
        <w:rPr>
          <w:lang w:val="es-AR" w:eastAsia="es-AR" w:bidi="es-AR"/>
        </w:rPr>
        <w:t xml:space="preserve">Así el Código Adjetivo, en modo general en las resoluciones judiciales -sentencia- y en particular en la  de trance y remate establece que la obligación del juez, en el caso de corresponder, es determinar la suma líquida y las bases para la determinación de los intereses ( arts. 165 y 549 CPC.), por lo que mal puede la pretensión inicial de despachar una ejecución con intereses ya capitalizados superando la oportunidad procesal oportuna.</w:t>
      </w:r>
    </w:p>
    <w:p>
      <w:pPr>
        <w:pStyle w:val="[Normal]"/>
        <w:spacing w:line="360" w:lineRule="auto"/>
        <w:ind w:firstLine="1134"/>
        <w:jc w:val="both"/>
        <w:rPr>
          <w:lang w:val="es-AR" w:eastAsia="es-AR" w:bidi="es-AR"/>
        </w:rPr>
      </w:pPr>
      <w:r>
        <w:rPr>
          <w:lang w:val="es-AR" w:eastAsia="es-AR" w:bidi="es-AR"/>
        </w:rPr>
        <w:t xml:space="preserve">Por lo demás, dictada una sentencia que condene al pago de una suma ya capitalizada, es sabido que la misma una vez firme adquiere cualidad de cosa juzgada (aunque en el caso formal) y de ley para las partes. Por lo que, al momento de liquidarse la dificultad de volver sobre lo ya fallado impone una solución que contemple el derecho de propiedad de las partes, sin dejar de advertir -como ya se dijera- que en la materia campea el orden público y de allí la obligación jurisdiccional de su contralor.</w:t>
      </w:r>
    </w:p>
    <w:p>
      <w:pPr>
        <w:pStyle w:val="[Normal]"/>
        <w:spacing w:line="360" w:lineRule="auto"/>
        <w:ind w:firstLine="1134"/>
        <w:jc w:val="both"/>
        <w:rPr>
          <w:b/>
          <w:lang w:val="es-AR" w:eastAsia="es-AR" w:bidi="es-AR"/>
        </w:rPr>
      </w:pPr>
      <w:r>
        <w:rPr>
          <w:lang w:val="es-AR" w:eastAsia="es-AR" w:bidi="es-AR"/>
        </w:rPr>
        <w:t xml:space="preserve">En suma, el monto por el que correspondería despachar la ejecución, es el surgente del contrato de mutuo y en el momento procesal que corresponda, se ha de practicar liquidación de los intereses pactados,  la capitalización que correspondiere, la deducción de pagos parciales, todo ello sujeto al control de la parte o de la jurisdicción.</w:t>
      </w:r>
    </w:p>
    <w:p>
      <w:pPr>
        <w:pStyle w:val="[Normal]"/>
        <w:spacing w:line="360" w:lineRule="auto"/>
        <w:ind w:firstLine="1134"/>
        <w:jc w:val="both"/>
        <w:rPr>
          <w:b/>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Sr. Juz Roberto M. Degleue dijo:</w:t>
      </w:r>
    </w:p>
    <w:p>
      <w:pPr>
        <w:pStyle w:val="[Normal]"/>
        <w:spacing w:line="360" w:lineRule="auto"/>
        <w:ind w:firstLine="1134"/>
        <w:jc w:val="both"/>
        <w:rPr>
          <w:lang w:val="es-AR" w:eastAsia="es-AR" w:bidi="es-AR"/>
        </w:rPr>
      </w:pPr>
      <w:r>
        <w:rPr>
          <w:lang w:val="es-AR" w:eastAsia="es-AR" w:bidi="es-AR"/>
        </w:rPr>
        <w:t xml:space="preserve">No comparto la decisión a que arriba el colega que me precede.</w:t>
      </w:r>
    </w:p>
    <w:p>
      <w:pPr>
        <w:pStyle w:val="[Normal]"/>
        <w:spacing w:line="360" w:lineRule="auto"/>
        <w:ind w:firstLine="1134"/>
        <w:jc w:val="both"/>
        <w:rPr>
          <w:lang w:val="es-AR" w:eastAsia="es-AR" w:bidi="es-AR"/>
        </w:rPr>
      </w:pPr>
      <w:r>
        <w:rPr>
          <w:lang w:val="es-AR" w:eastAsia="es-AR" w:bidi="es-AR"/>
        </w:rPr>
        <w:t xml:space="preserve">He tenido oportunidad de expedirme en la materia, en causas anteriores -N° 3646 RSD 111/2019, 3654 RSD 112/2019-, partiendo de la debida armonización que es menester procurar entre los ordenamientos que rigen la materia cambiaria y consumeril. Así, cuando es comprobada la relación de consumo en que se da el libramiento de un instrumento abstracto de crédito, en su ejecución habrán de compatibilizarse la regla que veda el análisis y discusión causal, con el sistema de protección al consumidor previsto en la LDC. Es decir, que el análisis del negocio en cuyo marco se librare, ha de ser necesario para verificar el cumplimiento del art. 36 de la ley 24.240. Puntualmente sobre la cuestión aquí ventilada, me expedí en contrario al primer voto que llevara el Dr. Louise en los autos que cita N° 3885, adhiriendo a lo expuesto por la Dra. Scaraffía, quien llevara el segundo orden en el Acuerdo.</w:t>
      </w:r>
    </w:p>
    <w:p>
      <w:pPr>
        <w:pStyle w:val="[Normal]"/>
        <w:spacing w:line="360" w:lineRule="auto"/>
        <w:ind w:firstLine="1134"/>
        <w:jc w:val="both"/>
        <w:rPr>
          <w:lang w:val="es-AR" w:eastAsia="es-AR" w:bidi="es-AR"/>
        </w:rPr>
      </w:pPr>
      <w:r>
        <w:rPr>
          <w:lang w:val="es-AR" w:eastAsia="es-AR" w:bidi="es-AR"/>
        </w:rPr>
        <w:t xml:space="preserve">Entiendo que el fallo de la SCBA, "Cubillas", tal como ya lo analicé en autos N° 3741 RSD 144/2019, no extiende su doctrina legal a la exigencia de preparación de la vía ejecutiva dispuesta en ese caso pues ello se enrola ya en la forma que el Juez puede escoger para efectivizar la constatación del cumplimiento de la LDC, cuestión no tratada expresamente por el Superior cuyo examen se centró, frente al agravio fiscal respecto de la improcedencia de la integración del título, que aquella correspondía.</w:t>
      </w:r>
    </w:p>
    <w:p>
      <w:pPr>
        <w:pStyle w:val="[Normal]"/>
        <w:spacing w:line="360" w:lineRule="auto"/>
        <w:ind w:firstLine="1134"/>
        <w:jc w:val="both"/>
        <w:rPr>
          <w:i/>
          <w:lang w:val="es-AR" w:eastAsia="es-AR" w:bidi="es-AR"/>
        </w:rPr>
      </w:pPr>
      <w:r>
        <w:rPr>
          <w:lang w:val="es-AR" w:eastAsia="es-AR" w:bidi="es-AR"/>
        </w:rPr>
        <w:t xml:space="preserve">Y apuntalo mi interpretación, en la consideración efectuada en el fallo (últ. párr. punto IV.6.a.) al referir a lo decidido por la Cámara a-quo, </w:t>
      </w:r>
      <w:r>
        <w:rPr>
          <w:i/>
          <w:lang w:val="es-AR" w:eastAsia="es-AR" w:bidi="es-AR"/>
        </w:rPr>
        <w:t xml:space="preserve">"Ese modo de obrar, que cabe juzgar aquí en el marco de lo resuelto por el a quo </w:t>
      </w:r>
      <w:r>
        <w:rPr>
          <w:i/>
          <w:u w:val="single"/>
          <w:lang w:val="es-AR" w:eastAsia="es-AR" w:bidi="es-AR"/>
        </w:rPr>
        <w:t xml:space="preserve">y de los agravios articulados ante esta Corte</w:t>
      </w:r>
      <w:r>
        <w:rPr>
          <w:i/>
          <w:lang w:val="es-AR" w:eastAsia="es-AR" w:bidi="es-AR"/>
        </w:rPr>
        <w:t xml:space="preserve">, no contraviene los parámetros interpretativos antes mencionados." </w:t>
      </w:r>
    </w:p>
    <w:p>
      <w:pPr>
        <w:pStyle w:val="[Normal]"/>
        <w:spacing w:line="360" w:lineRule="auto"/>
        <w:ind w:firstLine="1134"/>
        <w:jc w:val="both"/>
        <w:rPr>
          <w:i/>
          <w:lang w:val="es-AR" w:eastAsia="es-AR" w:bidi="es-AR"/>
        </w:rPr>
      </w:pPr>
      <w:r>
        <w:rPr>
          <w:lang w:val="es-AR" w:eastAsia="es-AR" w:bidi="es-AR"/>
        </w:rPr>
        <w:t xml:space="preserve">Asimismo, en dicha dirección ha decidido la Sala Primera de la Cámara Segunda de La Plata, causa 123337 RSD 74/2018, voto del Dr. Sosa Aubone,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lang w:val="es-AR" w:eastAsia="es-AR" w:bidi="es-AR"/>
        </w:rPr>
      </w:pPr>
      <w:r>
        <w:rPr>
          <w:lang w:val="es-AR" w:eastAsia="es-AR" w:bidi="es-AR"/>
        </w:rPr>
        <w:t xml:space="preserve">Y esta Alzada, por mayoría, en autos N° 3896 RDS 87/2020, tuvo oportunidad de hacer referencia al fallo del Superior al que alude el juez que me precede en el Acuerdo, "Recupero On Line S.A. C/ Vera Jose Roberto S/ Cobro Ejecutivo" del 18/09/2019, señalando que no surge de la misma la necesaria exigibilidad de la preparación de la vía ejecutiva en orden a la ejecución del pagaré de consumo, sino que de allí  se desprende la facultad judicial de requerir el acompañamiento de la documentación a través de la vía procesal pertinente en caso de que hubiese sido omitida (cuestión que no ha ocurrido en autos toda vez que la documentación ha sido oportunamente acompañada). Y aún cuando ello no fuera así, el aludido requerimiento previo está sujeto al examen del magistrado primero, pudiendo el Ad-quem como instancia revisora, disentir con la valoración efectuada al respecto. </w:t>
      </w:r>
    </w:p>
    <w:p>
      <w:pPr>
        <w:pStyle w:val="[Normal]"/>
        <w:spacing w:line="360" w:lineRule="auto"/>
        <w:ind w:firstLine="1134"/>
        <w:jc w:val="both"/>
        <w:rPr>
          <w:lang w:val="es-AR" w:eastAsia="es-AR" w:bidi="es-AR"/>
        </w:rPr>
      </w:pPr>
      <w:r>
        <w:rPr>
          <w:lang w:val="es-AR" w:eastAsia="es-AR" w:bidi="es-AR"/>
        </w:rPr>
        <w:t xml:space="preserve">En virtud de ello, he de discrepar con la opinión del colega preopinante, por cuanto entiendo que del citado fallo no puede inferirse que la preparación de la vía ejecutiva en el supuesto del pagaré de consumo integrado constituya una condición de cumplimiento inexcusable para dar trámite a la pretensión.</w:t>
      </w:r>
    </w:p>
    <w:p>
      <w:pPr>
        <w:pStyle w:val="[Normal]"/>
        <w:spacing w:line="360" w:lineRule="auto"/>
        <w:ind w:firstLine="1134"/>
        <w:jc w:val="both"/>
        <w:rPr>
          <w:lang w:val="es-AR" w:eastAsia="es-AR" w:bidi="es-AR"/>
        </w:rPr>
      </w:pPr>
      <w:r>
        <w:rPr>
          <w:lang w:val="es-AR" w:eastAsia="es-AR" w:bidi="es-AR"/>
        </w:rPr>
        <w:t xml:space="preserve">Por todo ello, he de proponer al acuerdo que el recurso en tratamiento sea recibido y se revoque la decisión de la Jueza primera en la que intima al ejecutado a efectuar el reconocimiento que determina el art. 523 inc. 1 del CPCC.</w:t>
      </w:r>
    </w:p>
    <w:p>
      <w:pPr>
        <w:pStyle w:val="[Normal]"/>
        <w:spacing w:line="360" w:lineRule="auto"/>
        <w:ind w:firstLine="1134"/>
        <w:jc w:val="both"/>
        <w:rPr>
          <w:lang w:val="es-AR" w:eastAsia="es-AR" w:bidi="es-AR"/>
        </w:rPr>
      </w:pPr>
      <w:r>
        <w:rPr>
          <w:lang w:val="es-AR" w:eastAsia="es-AR" w:bidi="es-AR"/>
        </w:rPr>
        <w:t xml:space="preserve">He de agregar además, en orden a la determinación del monto por el cual cabe despachar la ejecución, que tal como esta Alzada se pronunciara en autos N° 3818-19, "CREDINEGOCIOS MOSCASIL S.A.  C/ VAZQUEZ MARCELO FABIAN S/ COBRO EJECUTIVO", corresponde lo sea por capital más intereses pactados en el contrato de mutuo con deducción de los importes ya abonados, todo ello sin perjuicio de diferir la evaluación de si los mismos resultan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lang w:val="es-AR" w:eastAsia="es-AR" w:bidi="es-AR"/>
        </w:rPr>
      </w:pPr>
      <w:r>
        <w:rPr>
          <w:lang w:val="es-AR" w:eastAsia="es-AR" w:bidi="es-AR"/>
        </w:rPr>
        <w:t xml:space="preserve">Se trata una pretensión ejecutiva integrada por un crédito documentado en un contrato de mutuo y simultáneamente instrumentado en un pagaré -en este último se capitalizan intereses devengados con base en la relación causal-, existen pagos parciales oblados por el demandado y el objeto del reclamo judicial se proyecta sobre el capital más los intereses.</w:t>
      </w:r>
    </w:p>
    <w:p>
      <w:pPr>
        <w:pStyle w:val="[Normal]"/>
        <w:spacing w:line="360" w:lineRule="auto"/>
        <w:ind w:firstLine="1134"/>
        <w:jc w:val="both"/>
        <w:rPr>
          <w:lang w:val="es-AR" w:eastAsia="es-AR" w:bidi="es-AR"/>
        </w:rPr>
      </w:pPr>
      <w:r>
        <w:rPr>
          <w:lang w:val="es-AR" w:eastAsia="es-AR" w:bidi="es-AR"/>
        </w:rPr>
        <w:t xml:space="preserve">Y si el título valor, autónomamente o integrado, reúne las exigencias del citado art. 36 será pertinente la ejecución en los límites que resulten del negocio base de la relación jurídica en tanto lo que se ejecuta es el pagaré como título ejecutivo. El hecho de que el monto que figura en el título de crédito pueda verse eventualmente modificado en función de lo que resulta de los términos informativos del contrato de mutuo en tanto relación causal subyacente, no importa variación del objeto de la ejecución, que desde el punto de vista técnico y formal sigue siendo el pagaré.  </w:t>
      </w:r>
      <w:r>
        <w:rPr>
          <w:i/>
          <w:lang w:val="es-AR" w:eastAsia="es-AR" w:bidi="es-AR"/>
        </w:rPr>
        <w:t xml:space="preserve">"...tanto el contrato de mutuo como el pagaré contemplan intereses. La diferencia estriba sencillamente en que el contrato de mutuo no liquida la suma resultante de los intereses pactados sino que tan sólo se refiere a las condiciones de financiación, y el pagaré lo hace implícitamente al incluirlos en la suma ejecutable final. Pero ello trasunta una diferencia meramente formal, más no repercute en la extensión material de la deuda, por lo que de ningún modo habilita al Juez de origen a detraer del monto de la ejecución el concepto de los intereses adeudados." </w:t>
      </w:r>
      <w:r>
        <w:rPr>
          <w:lang w:val="es-AR" w:eastAsia="es-AR" w:bidi="es-AR"/>
        </w:rPr>
        <w:t xml:space="preserve">(esta Cámara causa N° 3885 RSD 118/2020).</w:t>
      </w:r>
    </w:p>
    <w:p>
      <w:pPr>
        <w:pStyle w:val="[Normal]"/>
        <w:spacing w:line="360" w:lineRule="auto"/>
        <w:ind w:firstLine="1134"/>
        <w:jc w:val="both"/>
        <w:rPr>
          <w:lang w:val="es-AR" w:eastAsia="es-AR" w:bidi="es-AR"/>
        </w:rPr>
      </w:pPr>
      <w:r>
        <w:rPr>
          <w:lang w:val="es-AR" w:eastAsia="es-AR" w:bidi="es-AR"/>
        </w:rPr>
        <w:t xml:space="preserve">En virtud de ello, entiendo que los intereses capitalizados e incluidos en el monto del pagaré podrán ser reclamados en la medida de que guarden correspondencia con los intereses convenidos en el contrato de mutuo y siempre que se hubiesen cumplimentado respecto a ellos las exigencias informativas previstas en el art. 36 de la ley del consumidor. No comparto la opinión del colega en el sentido de que la inclusión de los intereses en la sentencia de trance y remate impide a la postre su tratamiento en el momento de la liquidación so pena de vulnerar la cualidad de cosa juzgada de la sentencia judicial, habida cuenta de que la revisión ulterior del monto de los intereses bien puede estar prevista en la propia resolución de condena. "</w:t>
      </w:r>
      <w:r>
        <w:rPr>
          <w:i/>
          <w:lang w:val="es-AR" w:eastAsia="es-AR" w:bidi="es-AR"/>
        </w:rPr>
        <w:t xml:space="preserve">...No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 </w:t>
      </w:r>
      <w:r>
        <w:rPr>
          <w:lang w:val="es-AR" w:eastAsia="es-AR" w:bidi="es-AR"/>
        </w:rPr>
        <w:t xml:space="preserve">(esta Cámara op. cit.).</w:t>
      </w:r>
    </w:p>
    <w:p>
      <w:pPr>
        <w:pStyle w:val="[Normal]"/>
        <w:spacing w:line="360" w:lineRule="auto"/>
        <w:ind w:firstLine="1134"/>
        <w:jc w:val="both"/>
        <w:rPr>
          <w:lang w:val="es-AR" w:eastAsia="es-AR" w:bidi="es-AR"/>
        </w:rPr>
      </w:pPr>
      <w:r>
        <w:rPr>
          <w:lang w:val="es-AR" w:eastAsia="es-AR" w:bidi="es-AR"/>
        </w:rPr>
        <w:t xml:space="preserve">En consecuencia, el monto por el que se deberá despachar la ejecución es el del saldo del capital más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Scaraffía</w:t>
      </w:r>
      <w:r>
        <w:rPr>
          <w:color w:val="0000FF"/>
          <w:lang w:val="es-AR" w:eastAsia="es-AR" w:bidi="es-AR"/>
        </w:rPr>
        <w:t xml:space="preserve">,</w:t>
      </w:r>
      <w:r>
        <w:rPr>
          <w:lang w:val="es-AR" w:eastAsia="es-AR" w:bidi="es-AR"/>
        </w:rPr>
        <w:t xml:space="preserve"> por análogos fundamentos votó en el mismo sentido que el Sr. Juez Roberto M. Degleue.</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revocar el decisorio apelado disponiendo que corresponde despachar la ejecución en los términos aquí expuestos. </w:t>
      </w:r>
    </w:p>
    <w:p>
      <w:pPr>
        <w:pStyle w:val="[Normal]"/>
        <w:spacing w:line="360" w:lineRule="auto"/>
        <w:ind w:firstLine="1134"/>
        <w:jc w:val="both"/>
        <w:rPr>
          <w:lang w:val="es-AR" w:eastAsia="es-AR" w:bidi="es-AR"/>
        </w:rPr>
      </w:pPr>
      <w:r>
        <w:rPr>
          <w:lang w:val="es-AR" w:eastAsia="es-AR" w:bidi="es-AR"/>
        </w:rPr>
        <w:t xml:space="preserve">Sin costas ( art. 68 CPC.).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 Degleue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revocar el decisorio apelado disponiendo que corresponde despachar la ejecución en los términos aquí expuestos. </w:t>
      </w:r>
    </w:p>
    <w:p>
      <w:pPr>
        <w:pStyle w:val="[Normal]"/>
        <w:spacing w:line="360" w:lineRule="auto"/>
        <w:ind w:firstLine="1134"/>
        <w:jc w:val="both"/>
        <w:rPr>
          <w:lang w:val="es-AR" w:eastAsia="es-AR" w:bidi="es-AR"/>
        </w:rPr>
      </w:pPr>
      <w:r>
        <w:rPr>
          <w:lang w:val="es-AR" w:eastAsia="es-AR" w:bidi="es-AR"/>
        </w:rPr>
        <w:t xml:space="preserve">Sin costas ( art. 68 CPC.).</w:t>
      </w:r>
    </w:p>
    <w:p>
      <w:pPr>
        <w:pStyle w:val="[Normal]"/>
        <w:spacing w:line="360" w:lineRule="auto"/>
        <w:ind w:firstLine="1134"/>
        <w:jc w:val="both"/>
        <w:rPr>
          <w:lang w:val="es-AR" w:eastAsia="es-AR" w:bidi="es-AR"/>
        </w:rPr>
      </w:pPr>
      <w:r>
        <w:rPr>
          <w:lang w:val="es-AR" w:eastAsia="es-AR" w:bidi="es-AR"/>
        </w:rPr>
        <w:t xml:space="preserve">Regístrese. Notifíquese.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09:47:23 -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10:07:41 -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10:15:51 -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10:52:04 - Ana Maria Albornoz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‰9=")è$ƒd;vŠ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252902090004996827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‰9=")è$ƒd;vŠ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252902090004996827</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