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171 /</w:t>
      </w:r>
      <w:r>
        <w:rPr>
          <w:b/>
          <w:color w:val="000000"/>
          <w:lang w:val="es-AR" w:eastAsia="es-AR" w:bidi="es-AR"/>
        </w:rPr>
        <w:t xml:space="preserve">2020</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1099/1103</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19 de noviembre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3937-20</w:t>
      </w:r>
      <w:r>
        <w:rPr>
          <w:lang w:val="es-AR" w:eastAsia="es-AR" w:bidi="es-AR"/>
        </w:rPr>
        <w:t xml:space="preserve"> caratulada </w:t>
      </w:r>
      <w:r>
        <w:rPr>
          <w:b/>
          <w:lang w:val="es-AR" w:eastAsia="es-AR" w:bidi="es-AR"/>
        </w:rPr>
        <w:t xml:space="preserve">"</w:t>
      </w:r>
      <w:r>
        <w:rPr>
          <w:b/>
          <w:color w:val="000000"/>
          <w:lang w:val="es-AR" w:eastAsia="es-AR" w:bidi="es-AR"/>
        </w:rPr>
        <w:t xml:space="preserve">FASCIANI OSCAR EDUARDO C/ CHIARAMONI AMADEO Y OTROS S/PRESCRIPCION ADQUISITIVA LARGA</w:t>
      </w:r>
      <w:r>
        <w:rPr>
          <w:b/>
          <w:lang w:val="es-AR" w:eastAsia="es-AR" w:bidi="es-AR"/>
        </w:rPr>
        <w:t xml:space="preserve">"</w:t>
      </w:r>
      <w:r>
        <w:rPr>
          <w:lang w:val="es-AR" w:eastAsia="es-AR" w:bidi="es-AR"/>
        </w:rPr>
        <w:t xml:space="preserve">, Expte. N°</w:t>
      </w:r>
      <w:r>
        <w:rPr>
          <w:color w:val="000000"/>
          <w:lang w:val="es-AR" w:eastAsia="es-AR" w:bidi="es-AR"/>
        </w:rPr>
        <w:t xml:space="preserve">56964</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N°3</w:t>
      </w:r>
      <w:r>
        <w:rPr>
          <w:lang w:val="es-AR" w:eastAsia="es-AR" w:bidi="es-AR"/>
        </w:rPr>
        <w:t xml:space="preserve">, se practicó el sorteo de ley que determinó que la votación debía efectuarse en el siguiente orden: </w:t>
      </w:r>
      <w:r>
        <w:rPr>
          <w:color w:val="000000"/>
          <w:lang w:val="es-AR" w:eastAsia="es-AR" w:bidi="es-AR"/>
        </w:rPr>
        <w:t xml:space="preserve">ROBERTO M. DEGLEUE, GRACIELA SCARAFFIA Y BERNARDO LOUISE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 DEGLEUE  dijo:</w:t>
      </w:r>
    </w:p>
    <w:p>
      <w:pPr>
        <w:pStyle w:val="[Normal]"/>
        <w:spacing w:line="360" w:lineRule="auto"/>
        <w:ind w:firstLine="1134"/>
        <w:jc w:val="both"/>
        <w:rPr>
          <w:color w:val="000000"/>
          <w:lang w:val="es-AR" w:eastAsia="es-AR" w:bidi="es-AR"/>
        </w:rPr>
      </w:pPr>
      <w:r>
        <w:rPr>
          <w:lang w:val="es-AR" w:eastAsia="es-AR" w:bidi="es-AR"/>
        </w:rPr>
        <w:t xml:space="preserve">En la sentencia que arriba en recurso, de fecha 27/5/2020, el Sr. Juez de la anterior instancia declaró extinguido el presente proceso</w:t>
      </w:r>
      <w:r>
        <w:rPr>
          <w:color w:val="000000"/>
          <w:lang w:val="es-AR" w:eastAsia="es-AR" w:bidi="es-AR"/>
        </w:rPr>
        <w:t xml:space="preserve"> por caducidad de instancia -art. 316 CPCC- y aplicó las costas a la parte actora. Declaró que no correspondía regular honorarios a su letrada (art. 30 ley arancelaria) y fijó los del mediador que interviniera.</w:t>
      </w:r>
    </w:p>
    <w:p>
      <w:pPr>
        <w:pStyle w:val="[Normal]"/>
        <w:spacing w:line="360" w:lineRule="auto"/>
        <w:ind w:firstLine="1134"/>
        <w:jc w:val="both"/>
        <w:rPr>
          <w:lang w:val="es-AR" w:eastAsia="es-AR" w:bidi="es-AR"/>
        </w:rPr>
      </w:pPr>
      <w:r>
        <w:rPr>
          <w:lang w:val="es-AR" w:eastAsia="es-AR" w:bidi="es-AR"/>
        </w:rPr>
        <w:t xml:space="preserve">La accionante interpuso recurso de apelación mediante presentación electrónica de fecha 29/5/2020 y los autos se elevaron el 18/6/2020. La providencia para resolver se dictó el 8/9/2020 y firme, deja la causa en condiciones de recibir tratamiento.</w:t>
      </w:r>
    </w:p>
    <w:p>
      <w:pPr>
        <w:pStyle w:val="[Normal]"/>
        <w:spacing w:line="360" w:lineRule="auto"/>
        <w:ind w:firstLine="1134"/>
        <w:jc w:val="both"/>
        <w:rPr>
          <w:i/>
          <w:color w:val="000000"/>
          <w:lang w:val="es-AR" w:eastAsia="es-AR" w:bidi="es-AR"/>
        </w:rPr>
      </w:pPr>
      <w:r>
        <w:rPr>
          <w:lang w:val="es-AR" w:eastAsia="es-AR" w:bidi="es-AR"/>
        </w:rPr>
        <w:t xml:space="preserve">Examinadas sus constancias, emerge como antecedente de la declaración de perención habida, el</w:t>
      </w:r>
      <w:r>
        <w:rPr>
          <w:color w:val="000000"/>
          <w:lang w:val="es-AR" w:eastAsia="es-AR" w:bidi="es-AR"/>
        </w:rPr>
        <w:t xml:space="preserve"> auto del 14/02/2020 en el que el Sr. Juez dispuso intimar a la parte actora para que, dentro del quinto día de notificada, manifestase </w:t>
      </w:r>
      <w:r>
        <w:rPr>
          <w:i/>
          <w:color w:val="000000"/>
          <w:lang w:val="es-AR" w:eastAsia="es-AR" w:bidi="es-AR"/>
        </w:rPr>
        <w:t xml:space="preserve">"...su intención de continuar con la acción y produzca actividad procesal útil para la prosecución del trámite, bajo apercibimiento, en caso de incumplimiento, de decretarse la caducidad de la instancia (Art. 315 del C.P.C. mod. por Ley 13.986).".</w:t>
      </w:r>
      <w:r>
        <w:rPr>
          <w:color w:val="000000"/>
          <w:lang w:val="es-AR" w:eastAsia="es-AR" w:bidi="es-AR"/>
        </w:rPr>
        <w:t xml:space="preserve"> Aquella, notificada y vencido el plazo de intimación el 9/3/2020, se presentó mediante los escritos de fecha 12/3/2020 manifestando su voluntad de continuar trámite y adjuntando oficio diligenciado y </w:t>
      </w:r>
      <w:r>
        <w:rPr>
          <w:lang w:val="es-AR" w:eastAsia="es-AR" w:bidi="es-AR"/>
        </w:rPr>
        <w:t xml:space="preserve">refiriendo a las gestiones que habría realizado en el Juzgado que surge allí informado, de la localidad de Villa Constitución. Pcia. Santa Fe así como en el Archivo respectivo y en el General de Rosario siendo que en definitiva le hacen saber que según surge del sistema no se realizó ningún movimiento en el mismo más que su presentación inicial, no constando publicación de edictos ni oficios. Ofrece se constaten sus dichos en tales dependencias y peticiona que al no existir Declaratoria de Herederos ni parientes que puedan continuar con el trámite, como tampoco posibilidad de rescatar el expediente o pedir su reconstrucción, se pueda continuar con la usucapión, tal como se solicitó desde el principio.                </w:t>
      </w:r>
    </w:p>
    <w:p>
      <w:pPr>
        <w:pStyle w:val="[Normal]"/>
        <w:spacing w:line="360" w:lineRule="auto"/>
        <w:ind w:firstLine="1134"/>
        <w:jc w:val="both"/>
        <w:rPr>
          <w:i/>
          <w:color w:val="000000"/>
          <w:lang w:val="es-AR" w:eastAsia="es-AR" w:bidi="es-AR"/>
        </w:rPr>
      </w:pPr>
      <w:r>
        <w:rPr>
          <w:lang w:val="es-AR" w:eastAsia="es-AR" w:bidi="es-AR"/>
        </w:rPr>
        <w:t xml:space="preserve">Seguidamente, el A-quo llamó a autos para resolver el 30/4/2020 y pronunció la sentencia en crisis, en fecha 27/5/2020.</w:t>
      </w:r>
    </w:p>
    <w:p>
      <w:pPr>
        <w:pStyle w:val="[Normal]"/>
        <w:spacing w:line="360" w:lineRule="auto"/>
        <w:ind w:firstLine="1134"/>
        <w:jc w:val="both"/>
        <w:rPr>
          <w:lang w:val="es-AR" w:eastAsia="es-AR" w:bidi="es-AR"/>
        </w:rPr>
      </w:pPr>
      <w:r>
        <w:rPr>
          <w:color w:val="000000"/>
          <w:lang w:val="es-AR" w:eastAsia="es-AR" w:bidi="es-AR"/>
        </w:rPr>
        <w:t xml:space="preserve">Al resolver, el magistrado  expresó que al momento de intimar a la actora, había transcurrido el plazo previsto en el art. 310 inc. 3 del CPCC, computándolo desde la respuesta del oficio librado al Registro de Juicios Universales de la Provincia de Santa Fe que lleva cargo de expedición el 3/6/2019 (fs. 122) y que asimismo, al ser notificada de la providencia arriba transcripta, se presentó extemporáneamente el 12/03/2020. En consecuencia, tuvo por incontestada la intimación formulada en los términos del Art. 315 del C.P.C.C, decretando la caducidad de instancia de las presentes actuaciones (Arts. 310, 315 y 316 del C.P.C.).</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La actora al exponer sus agravios califica al decisorio de injusto y arbitrario. Parte de que la caducidad de instancia es un modo atípico o anormal de conclusión del proceso y es en definitiva, una sanción procesal contra el actor que abandona o demuestra un desinterés manifiesto por el proceso que hubo iniciado, no siendo éste el caso. Destaca que el actor padece un grave problema de salud -esclerosis múltiple- que le ha dificultado llevar adelante el trámite y que además muchas de las gestiones se efectivizaron en extraña jurisdicción. En cuanto al oficio diligenciado en el Registro de Procesos Universales de Rosario, dice que no fue entregado en el mismo momento del sellado, que dicho organismo da turnos cada 15 días para retiros y que, como ha explicado al presentar el informe en la causa, realizó con posterioridad, numerosas gestiones para rastrear el expediente sucesorio del demandado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Pone de manifiesto que no transcurrió el plazo previsto por el art. 310, inc 1) de seis meses que entiende aplicable, por lo que la intimación del 14/2/2020 se habría efectuado antes de su vencimiento, el que estima operaba el 21/02/2020.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Además enfatiza que al momento de la intimación se desconocía si el oficio al Registro de Juicios Universales había sido informado o no, por lo que no podía calcularse el plazo transcurrido para actuar oficiosamente como se hizo. Resalta que</w:t>
      </w:r>
      <w:r>
        <w:rPr>
          <w:i/>
          <w:lang w:val="es-AR" w:eastAsia="es-AR" w:bidi="es-AR"/>
        </w:rPr>
        <w:t xml:space="preserve"> " En el mismo expediente tenemos la constancia que el Oficio dirigido a la Cámara Nacional Electoral tardó una eternidad en ser respondido, por lo que el Juzgado no puede por su propia decisión suponer que en éste caso iba a ser distinto, más allá de lo acontecido. Lo que quiero dejar establecido es que no había una fecha cierta de inactividad...".  </w:t>
      </w:r>
      <w:r>
        <w:rPr>
          <w:lang w:val="es-AR" w:eastAsia="es-AR" w:bidi="es-AR"/>
        </w:rPr>
        <w:t xml:space="preserve">Y además, que </w:t>
      </w:r>
      <w:r>
        <w:rPr>
          <w:rStyle w:val="U"/>
          <w:u w:val="none"/>
          <w:lang w:val="es-AR" w:eastAsia="es-AR" w:bidi="es-AR"/>
        </w:rPr>
        <w:t xml:space="preserve">una vez impulsado el procedimiento no puede decretarse la caducidad de oficio ni a pedido de la contraria</w:t>
      </w:r>
      <w:r>
        <w:rPr>
          <w:lang w:val="es-AR" w:eastAsia="es-AR" w:bidi="es-AR"/>
        </w:rPr>
        <w:t xml:space="preserve"> si ésta ha consentido el acto de tal naturaleza y en la especie se presentó el Oficio diligenciado y un escrito aclarando la situación antes de ser dictada la caducidad de la instancia</w:t>
      </w:r>
      <w:r>
        <w:rPr>
          <w:rStyle w:val="U"/>
          <w:u w:val="none"/>
          <w:lang w:val="es-AR" w:eastAsia="es-AR" w:bidi="es-AR"/>
        </w:rPr>
        <w:t xml:space="preserve"> es decir que no debió decretársela luego de tal impulso de su parte</w:t>
      </w:r>
      <w:r>
        <w:rPr>
          <w:lang w:val="es-AR" w:eastAsia="es-AR" w:bidi="es-AR"/>
        </w:rPr>
        <w:t xml:space="preserve"> ,y no mediando petición de la Defensoría interviniente por la demandada</w:t>
      </w:r>
      <w:r>
        <w:rPr>
          <w:i/>
          <w:lang w:val="es-AR" w:eastAsia="es-AR" w:bidi="es-AR"/>
        </w:rPr>
        <w:t xml:space="preserve">. </w:t>
      </w:r>
      <w:r>
        <w:rPr>
          <w:lang w:val="es-AR" w:eastAsia="es-AR" w:bidi="es-AR"/>
        </w:rPr>
        <w:t xml:space="preserve">Cita jurisprudencia y doctrina en orden a la finalidad del instituto y la valoración a efectuar en cada caso particular.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En suma, sostiene que el Juez con los escritos de fecha 12/3/2020 no debió decretar caducidad porque con ellos se impulsó el proceso y alega que nada hace a la cuestión, el hecho de que se presentaran con unos días de atraso respecto de la intimación, pues lo concreto es que hubo actividad antes de que la jurisdicción se expidiera sobre la perención y por ende ya no podía hacerlo.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Para el análisis del planteo traído, he de volver sobre los detalles temporales mencionados y así, se observa que el tiempo transcurrido que el Magistrado meritó sin actividad impulsoria sería desde el 3/6/2019, oportunidad en que el organismo de extraña jurisdicción contesta oficio. No consta fecha exacta en que el informe efectivamente estuvo a disposición de la parte para que se procediera a su retiro en la localidad sede de aquél, pero aún aditando 10 días -tiempo que objetiva y prudentemente puede estimarse en el caso-  llevaría la fecha de cómputo al 13/6/2019 y el plazo contenido en el art. 310 inc.3 (en tanto se trata de juicio sumario, art.320 CPCC, conforme fs. 112) habría expirado el 28/9/2019, es decir que el acto jurisdiccional que pone la atención en el trámite, ordenando la intimación previa que prevé al CPCC para la declaración de caducidad, se concreta aproximadamente a los tres meses y medio de vencido el plazo contenido en la norma de rito (14/02/2020), descontando los días que corresponden a feria judicial.</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Y, una vez intimada la actora a manifestar el interés en la prosecución de la causa y a producir actividad útil -mediante notificación cursada el 26/02/2020, con plazo hasta el 9/3/2020-, se presentó a los tres días de vencido mediante escrito electrónico del 12/3/2020.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No considero que en el presente proceso el tiempo acaecido en ambas oportunidades -luego del acto procesal relativo al oficio diligenciado, y luego de la intimación-, pueda tenerse como definitorio e indefectible para arribar a consecuencia tan gravosa como la caducidad de instancia dictada de oficio. Tiene dicho el Superior Tribunal provincial en la materia que se debe realizar una valoración razonable y con criterio amplio, apartado de lo puramente ritual (confr.SCBA, L 111555, 20/03/2013).</w:t>
      </w:r>
    </w:p>
    <w:p>
      <w:pPr>
        <w:pStyle w:val="[Normal]"/>
        <w:spacing w:line="360" w:lineRule="auto"/>
        <w:ind w:firstLine="1134"/>
        <w:jc w:val="both"/>
        <w:rPr>
          <w:lang w:val="es-AR" w:eastAsia="es-AR" w:bidi="es-AR"/>
        </w:rPr>
      </w:pPr>
      <w:r>
        <w:rPr>
          <w:i/>
          <w:lang w:val="es-AR" w:eastAsia="es-AR" w:bidi="es-AR"/>
        </w:rPr>
        <w:t xml:space="preserve">"La perención debe estimarse como una medida excepcional y, por lo tanto, de aplicación restrictiva, ya que la interpretación de esta materia debe ser estricta y ordenada a mantener la vitalidad del proceso."</w:t>
      </w:r>
      <w:r>
        <w:rPr>
          <w:lang w:val="es-AR" w:eastAsia="es-AR" w:bidi="es-AR"/>
        </w:rPr>
        <w:t xml:space="preserve"> (CC0203 LP 125113 RSI-98-19 I 23/04/2019)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Estimo, siguiendo en esta línea de abordaje de la cuestión,  que el examen a realizar debe ser prudente y realista para determinar si se configuran no sólo las condiciones generales formales de aplicación del instituto sino además, si aplican al caso concreto y sus singularidades. Así, la interpretación ha de ser restrictiva sobre su procedencia y en concordancia con  ello, de amplio criterio respecto de la actividad procesal realizada frente a la intimación cursada.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Se ha dicho que "...</w:t>
      </w:r>
      <w:r>
        <w:rPr>
          <w:i/>
          <w:lang w:val="es-AR" w:eastAsia="es-AR" w:bidi="es-AR"/>
        </w:rPr>
        <w:t xml:space="preserve">Al ser la caducidad de la instancia un modo anormal de terminación del proceso y de interpretación restrictiva, la aplicación que de ella se haga debe adecuarse a ese carácter sin llevar con excesivo ritualismo el criterio que la preside más allá de su ámbito propio. En la duda, el juzgador debe pronunciarse a favor de la subsistencia del proceso. Como contrapartida, si se parte de la premisa que la perención de la instancia es excepcional porque entraña un modo anormal de terminación del proceso y debe interpretarse restrictivamente, los actos interruptivos habrán de ser analizados en forma amplia. Es decir en la duda ha de estarse por la interrupción...". (7/11/2017, www.saij.gob.ar, suj 0043284/123456789).</w:t>
      </w:r>
    </w:p>
    <w:p>
      <w:pPr>
        <w:pStyle w:val="[Normal]"/>
        <w:spacing w:line="360" w:lineRule="auto"/>
        <w:ind w:firstLine="1134"/>
        <w:jc w:val="both"/>
        <w:rPr>
          <w:lang w:val="es-AR" w:eastAsia="es-AR" w:bidi="es-AR"/>
        </w:rPr>
      </w:pPr>
      <w:r>
        <w:rPr>
          <w:lang w:val="es-AR" w:eastAsia="es-AR" w:bidi="es-AR"/>
        </w:rPr>
        <w:t xml:space="preserve">Además, puntualmente respecto de la facultad de decretar oficiosamente la consecuencia procesal en análisis, he de destacar la circunstancia de que la norma contenida en el art. 316 del CPCC decía </w:t>
      </w:r>
      <w:r>
        <w:rPr>
          <w:i/>
          <w:lang w:val="es-AR" w:eastAsia="es-AR" w:bidi="es-AR"/>
        </w:rPr>
        <w:t xml:space="preserve">"La caducidad </w:t>
      </w:r>
      <w:r>
        <w:rPr>
          <w:i/>
          <w:u w:val="single"/>
          <w:lang w:val="es-AR" w:eastAsia="es-AR" w:bidi="es-AR"/>
        </w:rPr>
        <w:t xml:space="preserve">será</w:t>
      </w:r>
      <w:r>
        <w:rPr>
          <w:i/>
          <w:lang w:val="es-AR" w:eastAsia="es-AR" w:bidi="es-AR"/>
        </w:rPr>
        <w:t xml:space="preserve"> declarada de oficio, sin otro trámite que la comprobación del vencimiento de los plazos..."</w:t>
      </w:r>
      <w:r>
        <w:rPr>
          <w:lang w:val="es-AR" w:eastAsia="es-AR" w:bidi="es-AR"/>
        </w:rPr>
        <w:t xml:space="preserve">, y modificado por ley 12.357, reza </w:t>
      </w:r>
      <w:r>
        <w:rPr>
          <w:i/>
          <w:lang w:val="es-AR" w:eastAsia="es-AR" w:bidi="es-AR"/>
        </w:rPr>
        <w:t xml:space="preserve">"La caducidad</w:t>
      </w:r>
      <w:r>
        <w:rPr>
          <w:i/>
          <w:u w:val="single"/>
          <w:lang w:val="es-AR" w:eastAsia="es-AR" w:bidi="es-AR"/>
        </w:rPr>
        <w:t xml:space="preserve"> podrá</w:t>
      </w:r>
      <w:r>
        <w:rPr>
          <w:i/>
          <w:lang w:val="es-AR" w:eastAsia="es-AR" w:bidi="es-AR"/>
        </w:rPr>
        <w:t xml:space="preserve"> ser declarada de oficio...</w:t>
      </w:r>
      <w:r>
        <w:rPr>
          <w:lang w:val="es-AR" w:eastAsia="es-AR" w:bidi="es-AR"/>
        </w:rPr>
        <w:t xml:space="preserve">", lo que importa tener expedita la facultad o potencia de actuar del modo previsto ante la situación, si se constatare. </w:t>
      </w:r>
    </w:p>
    <w:p>
      <w:pPr>
        <w:pStyle w:val="[Normal]"/>
        <w:spacing w:line="360" w:lineRule="auto"/>
        <w:ind w:firstLine="1134"/>
        <w:jc w:val="both"/>
        <w:rPr>
          <w:lang w:val="es-AR" w:eastAsia="es-AR" w:bidi="es-AR"/>
        </w:rPr>
      </w:pPr>
      <w:r>
        <w:rPr>
          <w:lang w:val="es-AR" w:eastAsia="es-AR" w:bidi="es-AR"/>
        </w:rPr>
        <w:t xml:space="preserve">Y la diferencia es importante porque la versión anterior dotaba de carácter imperativo a la declaración mas tras la reforma habida, la facultad en cabeza del Juzgador -no el deber-, habrá de reflejar la disminución de supuestos en los que un proceso culmine de manera anómala y por el contrario, pueda arribarse al dictado de una sentencia de mérito. Asimismo el  art. 316 actual, ya citado, demuestra esta télesis cuando exige que aún encontrándose vencidos los plazos, se intime a la parte pretensora que manifieste su interés en la prosecución del juicio.</w:t>
      </w:r>
    </w:p>
    <w:p>
      <w:pPr>
        <w:pStyle w:val="[Normal]"/>
        <w:spacing w:line="360" w:lineRule="auto"/>
        <w:ind w:firstLine="1134"/>
        <w:jc w:val="both"/>
        <w:rPr>
          <w:lang w:val="es-AR" w:eastAsia="es-AR" w:bidi="es-AR"/>
        </w:rPr>
      </w:pPr>
      <w:r>
        <w:rPr>
          <w:i/>
          <w:color w:val="000000"/>
          <w:lang w:val="es-AR" w:eastAsia="es-AR" w:bidi="es-AR"/>
        </w:rPr>
        <w:t xml:space="preserve">"Trátase de medida gravosa que ha sido morigerada en la ley procesal al incorporarse la intimación previa que debe realizarse a los contendientes para que en cierto plazo manifiesten su interés en la prosecución del trámite efectuando actividad útil (Artículo 315, Cód. Procesal)."</w:t>
      </w:r>
      <w:r>
        <w:rPr>
          <w:color w:val="000000"/>
          <w:lang w:val="es-AR" w:eastAsia="es-AR" w:bidi="es-AR"/>
        </w:rPr>
        <w:t xml:space="preserve"> (Cám.Civ. 1ºSN, causa 9121, RSD 179/08).</w:t>
      </w:r>
    </w:p>
    <w:p>
      <w:pPr>
        <w:pStyle w:val="[Normal]"/>
        <w:spacing w:line="360" w:lineRule="auto"/>
        <w:ind w:firstLine="1134"/>
        <w:jc w:val="both"/>
        <w:rPr>
          <w:lang w:val="es-AR" w:eastAsia="es-AR" w:bidi="es-AR"/>
        </w:rPr>
      </w:pPr>
      <w:r>
        <w:rPr>
          <w:lang w:val="es-AR" w:eastAsia="es-AR" w:bidi="es-AR"/>
        </w:rPr>
        <w:t xml:space="preserve"> Ciertamente entonces, la caducidad de instancia es un instituto destinado a dar por finalizado el proceso cuando se constata el abandono o desinterés de la parte que ejercita la acción, el recurso o el incidente y tanto la doctrina como la jurisprudencia, han señalado que se busca facilitar el dinámico y eficaz desarrollo de la actividad jurisdiccional evitando la custodia y resolución de procesos que no son tales porque ya no existe interés en mantener la contienda. </w:t>
      </w:r>
    </w:p>
    <w:p>
      <w:pPr>
        <w:pStyle w:val="[Normal]"/>
        <w:spacing w:line="360" w:lineRule="auto"/>
        <w:ind w:firstLine="1134"/>
        <w:jc w:val="both"/>
        <w:rPr>
          <w:lang w:val="es-AR" w:eastAsia="es-AR" w:bidi="es-AR"/>
        </w:rPr>
      </w:pPr>
      <w:r>
        <w:rPr>
          <w:lang w:val="es-AR" w:eastAsia="es-AR" w:bidi="es-AR"/>
        </w:rPr>
        <w:t xml:space="preserve">Si bien es cierto que el instituto en cuestión se asocia a la seguridad jurídica que se obtiene al erradicar la duración indefinida de los pleitos y el estado de incertidumbre que ello genera en el sistema y en los justiciables, su aplicación directa, sin contemplar particularidades también puede derivar en soluciones disvaliosas y contrarias a principios fundamentales, afectando en definitiva derechos tutelados constitucionalmente.</w:t>
      </w:r>
    </w:p>
    <w:p>
      <w:pPr>
        <w:pStyle w:val="[Normal]"/>
        <w:spacing w:line="360" w:lineRule="auto"/>
        <w:ind w:firstLine="1134"/>
        <w:jc w:val="both"/>
        <w:rPr>
          <w:lang w:val="es-AR" w:eastAsia="es-AR" w:bidi="es-AR"/>
        </w:rPr>
      </w:pPr>
      <w:r>
        <w:rPr>
          <w:lang w:val="es-AR" w:eastAsia="es-AR" w:bidi="es-AR"/>
        </w:rPr>
        <w:t xml:space="preserve">Arazi afirma que solo se justifica en la medida en que la instancia cuya perención es pretendida se encuentre en un evidente estado de abandono, porque lo mejor siempre es poner fin al conflicto de manera definitiva antes que aniquilar un proceso sin resolver el litigio; de lo contrario, la caducidad terminaría ocasionando serios perjuicios y demoras injustificadas. (confr."Caducidad de la instancia: impulso de las partes y deberes de los jueces y funcionarios", en Revista de Derecho Procesal, t. 1/2012).</w:t>
      </w:r>
    </w:p>
    <w:p>
      <w:pPr>
        <w:pStyle w:val="[Normal]"/>
        <w:spacing w:line="360" w:lineRule="auto"/>
        <w:ind w:firstLine="1134"/>
        <w:jc w:val="both"/>
        <w:rPr>
          <w:lang w:val="es-AR" w:eastAsia="es-AR" w:bidi="es-AR"/>
        </w:rPr>
      </w:pPr>
      <w:r>
        <w:rPr>
          <w:lang w:val="es-AR" w:eastAsia="es-AR" w:bidi="es-AR"/>
        </w:rPr>
        <w:t xml:space="preserve">Más allá del vencimiento del plazo del art. 310 inc. 3 del CPCC que se habría excedido aproximadamente en tres meses y medio (lo que no aparece considerable en un trámite como el de autos, sin contraparte que hubiere comparecido y diligenciamientos en extraña jurisdicción para ubicar expediente sucesorio), en la especie dado que no opera de pleno derecho el instituto, se intimó en los términos del art. 316 del ordenamiento procesal y en definitiva lo que corresponde decidir es respecto de la incidencia que tiene el hecho de que el acto impulsorio de la accionante se verificara pasados tres días de cumplido el plazo de cinco, impuesto en la intimación.</w:t>
      </w:r>
    </w:p>
    <w:p>
      <w:pPr>
        <w:pStyle w:val="[Normal]"/>
        <w:spacing w:line="360" w:lineRule="auto"/>
        <w:ind w:firstLine="1134"/>
        <w:jc w:val="both"/>
        <w:rPr>
          <w:lang w:val="es-AR" w:eastAsia="es-AR" w:bidi="es-AR"/>
        </w:rPr>
      </w:pPr>
      <w:r>
        <w:rPr>
          <w:lang w:val="es-AR" w:eastAsia="es-AR" w:bidi="es-AR"/>
        </w:rPr>
        <w:t xml:space="preserve">No encuentro que ello justifique arribar a la decisión tomada en supuesto como el traído en recurso por lo que en atención a lo expuesto y a la interpretación restrictiva que merece el instituto en análisis, corresponde revocar la sentencia recurrida (arts.316 y ccs. del CPCC).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FF"/>
          <w:lang w:val="es-AR" w:eastAsia="es-AR" w:bidi="es-AR"/>
        </w:rPr>
        <w:t xml:space="preserve">Graciela SCARAFFIA y Bernardo LOUISE</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al recurso interpuesto y en su mérito revocar la sentencia de fecha 27/5/2020, sin costas en tanto no medió controversia (art. 68 2do. párr. CPCC; 163, 316 y ccs. del CPCC). Y diferir la regulación de honorarios para el momento oportuno (art. 31 ley arancelaria).</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FF"/>
          <w:lang w:val="es-AR" w:eastAsia="es-AR" w:bidi="es-AR"/>
        </w:rPr>
        <w:t xml:space="preserve">Graciela SCARAFFIA y Bernardo LOUISE,</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al recurso interpuesto y en su mérito revocar la sentencia de fecha 27/5/2020 (arts. 163, 316 y ccs del CPCC). </w:t>
      </w:r>
    </w:p>
    <w:p>
      <w:pPr>
        <w:pStyle w:val="[Normal]"/>
        <w:spacing w:line="360" w:lineRule="auto"/>
        <w:ind w:firstLine="1134"/>
        <w:jc w:val="both"/>
        <w:rPr>
          <w:lang w:val="es-AR" w:eastAsia="es-AR" w:bidi="es-AR"/>
        </w:rPr>
      </w:pPr>
      <w:r>
        <w:rPr>
          <w:lang w:val="es-AR" w:eastAsia="es-AR" w:bidi="es-AR"/>
        </w:rPr>
        <w:t xml:space="preserve">Sin costas (art. 68 2do. párr. CPCC). </w:t>
      </w:r>
    </w:p>
    <w:p>
      <w:pPr>
        <w:pStyle w:val="[Normal]"/>
        <w:spacing w:line="360" w:lineRule="auto"/>
        <w:ind w:firstLine="1134"/>
        <w:jc w:val="both"/>
        <w:rPr>
          <w:lang w:val="es-AR" w:eastAsia="es-AR" w:bidi="es-AR"/>
        </w:rPr>
      </w:pPr>
      <w:r>
        <w:rPr>
          <w:lang w:val="es-AR" w:eastAsia="es-AR" w:bidi="es-AR"/>
        </w:rPr>
        <w:t xml:space="preserve">Difiérese la regulación de honorarios para el momento oportuno (art. 31 ley arancelaria).</w:t>
      </w:r>
    </w:p>
    <w:p>
      <w:pPr>
        <w:pStyle w:val="[Normal]"/>
        <w:spacing w:line="360" w:lineRule="auto"/>
        <w:ind w:firstLine="1134"/>
        <w:jc w:val="both"/>
        <w:rPr>
          <w:color w:val="000000"/>
          <w:lang w:val="es-AR" w:eastAsia="es-AR" w:bidi="es-AR"/>
        </w:rPr>
      </w:pPr>
      <w:r>
        <w:rPr>
          <w:lang w:val="es-AR" w:eastAsia="es-AR" w:bidi="es-AR"/>
        </w:rPr>
        <w:t xml:space="preserve">Regístrese. Notifíquese. Devuélvase.-</w:t>
      </w: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19/11/2020 09:27:41 - Bernardo Louise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19/11/2020 10:02:11 -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19/11/2020 10:20:20 - Roberto Manuel Degleue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19/11/2020 10:34:25 - Ana Maria Albornoz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‰80")è%!ZlQŠ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241602090005015876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‰80")è%!ZlQŠ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241602090005015876</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U">
    <w:name w:val="U"/>
    <w:qFormat/>
    <w:rPr>
      <w:u w:val="single"/>
      <w:rtl w:val="off"/>
      <w:lang w:val="x-none" w:eastAsia="x-none" w:bidi="x-none"/>
    </w:rPr>
  </w:style>
  <w:style w:type="character" w:styleId="B">
    <w:name w:val="B"/>
    <w:qFormat/>
    <w:rPr>
      <w:b/>
      <w:bCs/>
      <w:rtl w:val="off"/>
      <w:lang w:val="x-none" w:eastAsia="x-none" w:bidi="x-none"/>
    </w:rPr>
  </w:style>
  <w:style w:type="character" w:styleId="STRONG">
    <w:name w:val="STRONG"/>
    <w:qFormat/>
    <w:rPr>
      <w:b/>
      <w:bCs/>
      <w:rtl w:val="off"/>
      <w:lang w:val="x-none" w:eastAsia="x-none" w:bidi="x-none"/>
    </w:rPr>
  </w:style>
  <w:style w:type="character" w:styleId="EM">
    <w:name w:val="EM"/>
    <w:qFormat/>
    <w:rPr>
      <w:i/>
      <w:i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