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161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1035/1044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05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3954-20</w:t>
      </w:r>
      <w:r>
        <w:rPr>
          <w:lang w:val="es-AR" w:eastAsia="es-AR" w:bidi="es-AR"/>
        </w:rPr>
        <w:t xml:space="preserve"> caratulada </w:t>
      </w:r>
      <w:r>
        <w:rPr>
          <w:b/>
          <w:lang w:val="es-AR" w:eastAsia="es-AR" w:bidi="es-AR"/>
        </w:rPr>
        <w:t xml:space="preserve">"</w:t>
      </w:r>
      <w:r>
        <w:rPr>
          <w:b/>
          <w:color w:val="000000"/>
          <w:lang w:val="es-AR" w:eastAsia="es-AR" w:bidi="es-AR"/>
        </w:rPr>
        <w:t xml:space="preserve">MARTINI FLAVIO GUSTAVO C/MONTANARI AUTOMOTORES S.A. Y OTRO/A S/CUMPLIMIENTO DE CONTRATOS CIVILES/COMERCIALES (CUADERNILLO DE APELACIONES)</w:t>
      </w:r>
      <w:r>
        <w:rPr>
          <w:b/>
          <w:lang w:val="es-AR" w:eastAsia="es-AR" w:bidi="es-AR"/>
        </w:rPr>
        <w:t xml:space="preserve">"</w:t>
      </w:r>
      <w:r>
        <w:rPr>
          <w:lang w:val="es-AR" w:eastAsia="es-AR" w:bidi="es-AR"/>
        </w:rPr>
        <w:t xml:space="preserve">, Expte. N° </w:t>
      </w:r>
      <w:r>
        <w:rPr>
          <w:color w:val="000000"/>
          <w:lang w:val="es-AR" w:eastAsia="es-AR" w:bidi="es-AR"/>
        </w:rPr>
        <w:t xml:space="preserve">71.121 - 2020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señor Juez de la primera instancia hizo lugar a la demanda de cumplimiento contractual con más daños y perjuicios instaurada por la parte actora, condenó en consecuencia, a Montanari Automotores S.A. y Volkswagen S.A. de Ahorro para Fines Determinados, a abonar al Sr. Flavio Gustavo Martini, dentro de los diez días de notificada la presente, la suma de SETENTA Y SIETE MIL SETECIENTOS UN Pesos ($77.701), con más sus respectivos intereses calculados a la tasa pasiva "digital" que pague el Bco. de la Pcia. de Bs. As. en sus depósitos a treinta días vigente en los distintos períodos de aplicación, a partir de la fecha de la mora (30/01/2017) y hasta el momento de su efectivo pago. Aplicó las costas a las demandadas, que resultan vencidas. Difirió la regulación de honorarios de  los  letrados intervinientes y del perito,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por la actora mediante escrito electrónico de fecha 18/05/20, que mereció el respectivo responde a través de presentación electrónica de fecha 12 / 06 / 2020 y por la demandada en fecha 15/05/20, concedidos en relación con fecha 21/05/20.</w:t>
      </w:r>
    </w:p>
    <w:p>
      <w:pPr>
        <w:pStyle w:val="[Normal]"/>
        <w:spacing w:line="360" w:lineRule="auto"/>
        <w:ind w:firstLine="1134"/>
        <w:jc w:val="both"/>
        <w:rPr>
          <w:lang w:val="es-AR" w:eastAsia="es-AR" w:bidi="es-AR"/>
        </w:rPr>
      </w:pPr>
      <w:r>
        <w:rPr>
          <w:lang w:val="es-AR" w:eastAsia="es-AR" w:bidi="es-AR"/>
        </w:rPr>
        <w:t xml:space="preserve">Con fecha 15/09/2020 se llama autos para dictar sentencia, providencia que firme a la fecha deja la causa en condiciones de ser fallada ( arts. 263 / 267 del CPC., arts. 168 y 170 de la Constitución de la Provincia de Bs. As.).</w:t>
      </w:r>
    </w:p>
    <w:p>
      <w:pPr>
        <w:pStyle w:val="[Normal]"/>
        <w:spacing w:line="360" w:lineRule="auto"/>
        <w:ind w:firstLine="1134"/>
        <w:jc w:val="both"/>
        <w:rPr>
          <w:lang w:val="es-AR" w:eastAsia="es-AR" w:bidi="es-AR"/>
        </w:rPr>
      </w:pPr>
      <w:r>
        <w:rPr>
          <w:b/>
          <w:lang w:val="es-AR" w:eastAsia="es-AR" w:bidi="es-AR"/>
        </w:rPr>
        <w:t xml:space="preserve">a ) Agravios de la parte actora:</w:t>
      </w:r>
    </w:p>
    <w:p>
      <w:pPr>
        <w:pStyle w:val="[Normal]"/>
        <w:spacing w:line="360" w:lineRule="auto"/>
        <w:ind w:firstLine="1134"/>
        <w:jc w:val="both"/>
        <w:rPr>
          <w:lang w:val="es-AR" w:eastAsia="es-AR" w:bidi="es-AR"/>
        </w:rPr>
      </w:pPr>
      <w:r>
        <w:rPr>
          <w:lang w:val="es-AR" w:eastAsia="es-AR" w:bidi="es-AR"/>
        </w:rPr>
        <w:t xml:space="preserve">Primeramente se duele en punto a que se le desestimó el reclamo por la diferencia económica respecto del accesorio que contrató y abonó. Dice, que  si bien por acuerdo de fs. 170/171, como  no se le entregó la unidad convenida (sin techo) percibió la suma de $ 9.116 en compensación por la falta del accesorio mencionado, dicha suma fue determinada en forma unilateral por la demandada. Además,  en el mismo texto del acuerdo se dejó aclarado que el trámite judicial continuaba su curso, por ello salvo la entrega de la unidad no importó el acuerdo una conciliación en relación a los distintos rubros integrativos del reclamo. Que, su parte abonó en concepto de accesorios la suma de $ 18.885, deducida la que percibió en el acuerdo le resta un saldo a su favor de $ 9769 por lo que pide la revocación de sentencia en tal sentido.</w:t>
      </w:r>
    </w:p>
    <w:p>
      <w:pPr>
        <w:pStyle w:val="[Normal]"/>
        <w:spacing w:line="360" w:lineRule="auto"/>
        <w:ind w:firstLine="1134"/>
        <w:jc w:val="both"/>
        <w:rPr>
          <w:lang w:val="es-AR" w:eastAsia="es-AR" w:bidi="es-AR"/>
        </w:rPr>
      </w:pPr>
      <w:r>
        <w:rPr>
          <w:lang w:val="es-AR" w:eastAsia="es-AR" w:bidi="es-AR"/>
        </w:rPr>
        <w:t xml:space="preserve">Se agravia además, en tanto se le rechazó el reclamo en concepto de multa en los términos del art. 47 inc. c) de la ley 24.240, lo que obedeció a un error y que el juez podía, haciendo uso del principio " iura novit curia ", aplicar la normativa atinente. Que la norma de consumo es de orden público por lo que el Órgano Jurisdiccional debería cumplir con el art. 47 del texto legal y poner en conocimiento de la Secretaría de Comercio Interior la actuación de la parte demandada.</w:t>
      </w:r>
    </w:p>
    <w:p>
      <w:pPr>
        <w:pStyle w:val="[Normal]"/>
        <w:spacing w:line="360" w:lineRule="auto"/>
        <w:ind w:firstLine="1134"/>
        <w:jc w:val="both"/>
        <w:rPr>
          <w:lang w:val="es-AR" w:eastAsia="es-AR" w:bidi="es-AR"/>
        </w:rPr>
      </w:pPr>
      <w:r>
        <w:rPr>
          <w:lang w:val="es-AR" w:eastAsia="es-AR" w:bidi="es-AR"/>
        </w:rPr>
        <w:t xml:space="preserve">Se queja también, por la denegación  del rubro privación de uso, dado que la demora en la entrega del vehículo se extendió por el plazo de diez meses, que no contaba con otro vehículo, máxime que tuvo que enajenar el que poseía a fin de abonar las cuotas contratadas y cita jurisprudencia de este mismo Tribunal a fin de que sea receptado el reclamo.</w:t>
      </w:r>
    </w:p>
    <w:p>
      <w:pPr>
        <w:pStyle w:val="[Normal]"/>
        <w:spacing w:line="360" w:lineRule="auto"/>
        <w:ind w:firstLine="1134"/>
        <w:jc w:val="both"/>
        <w:rPr>
          <w:lang w:val="es-AR" w:eastAsia="es-AR" w:bidi="es-AR"/>
        </w:rPr>
      </w:pPr>
      <w:r>
        <w:rPr>
          <w:lang w:val="es-AR" w:eastAsia="es-AR" w:bidi="es-AR"/>
        </w:rPr>
        <w:t xml:space="preserve">Finalmente, se alza también contra el fallo por cuanto considera que si bien en sentencia se hizo lugar al reintegro de sumas de dinero, se omitió y con ello la posibilidad que sea tratado en esta Sede, el reclamo por  la bonificación por seis meses de  seguro  una vez cumplidas las 72 cuotas previstas tal como estaba pactado.</w:t>
      </w:r>
    </w:p>
    <w:p>
      <w:pPr>
        <w:pStyle w:val="[Normal]"/>
        <w:spacing w:line="360" w:lineRule="auto"/>
        <w:ind w:firstLine="1134"/>
        <w:jc w:val="both"/>
        <w:rPr>
          <w:lang w:val="es-AR" w:eastAsia="es-AR" w:bidi="es-AR"/>
        </w:rPr>
      </w:pPr>
      <w:r>
        <w:rPr>
          <w:lang w:val="es-AR" w:eastAsia="es-AR" w:bidi="es-AR"/>
        </w:rPr>
        <w:t xml:space="preserve">Por todo ello, pide se revoque el fallo de primera instancia.</w:t>
      </w:r>
    </w:p>
    <w:p>
      <w:pPr>
        <w:pStyle w:val="[Normal]"/>
        <w:spacing w:line="360" w:lineRule="auto"/>
        <w:ind w:firstLine="1134"/>
        <w:jc w:val="both"/>
        <w:rPr>
          <w:lang w:val="es-AR" w:eastAsia="es-AR" w:bidi="es-AR"/>
        </w:rPr>
      </w:pPr>
      <w:r>
        <w:rPr>
          <w:lang w:val="es-AR" w:eastAsia="es-AR" w:bidi="es-AR"/>
        </w:rPr>
        <w:t xml:space="preserve">Los agravios son desestimados por el apoderado de la parte codemandada, Volkswagen SA. de Ahorro para Fines Determinados, Dr. Facundo Barbarito, quien en forma puntual se expide en punto a la improcedencia de la pretensión revisora.</w:t>
      </w:r>
    </w:p>
    <w:p>
      <w:pPr>
        <w:pStyle w:val="[Normal]"/>
        <w:spacing w:line="360" w:lineRule="auto"/>
        <w:ind w:firstLine="1134"/>
        <w:jc w:val="both"/>
        <w:rPr>
          <w:lang w:val="es-AR" w:eastAsia="es-AR" w:bidi="es-AR"/>
        </w:rPr>
      </w:pPr>
      <w:r>
        <w:rPr>
          <w:b/>
          <w:lang w:val="es-AR" w:eastAsia="es-AR" w:bidi="es-AR"/>
        </w:rPr>
        <w:t xml:space="preserve">b ) Agravios</w:t>
      </w:r>
      <w:r>
        <w:rPr>
          <w:lang w:val="es-AR" w:eastAsia="es-AR" w:bidi="es-AR"/>
        </w:rPr>
        <w:t xml:space="preserve"> </w:t>
      </w:r>
      <w:r>
        <w:rPr>
          <w:b/>
          <w:lang w:val="es-AR" w:eastAsia="es-AR" w:bidi="es-AR"/>
        </w:rPr>
        <w:t xml:space="preserve">de la Parte Codemandada</w:t>
      </w:r>
      <w:r>
        <w:rPr>
          <w:lang w:val="es-AR" w:eastAsia="es-AR" w:bidi="es-AR"/>
        </w:rPr>
        <w:t xml:space="preserve"> Volkswagen SA. de Ahorro para Fines Determinados.</w:t>
      </w:r>
    </w:p>
    <w:p>
      <w:pPr>
        <w:pStyle w:val="[Normal]"/>
        <w:spacing w:line="360" w:lineRule="auto"/>
        <w:ind w:firstLine="1134"/>
        <w:jc w:val="both"/>
        <w:rPr>
          <w:lang w:val="es-AR" w:eastAsia="es-AR" w:bidi="es-AR"/>
        </w:rPr>
      </w:pPr>
      <w:r>
        <w:rPr>
          <w:lang w:val="es-AR" w:eastAsia="es-AR" w:bidi="es-AR"/>
        </w:rPr>
        <w:t xml:space="preserve">Se queja primeramente en tanto el juzgador condenó solidariamente a su parte en los términos del art. 40 de la Ley de Consumo lo que es improcedente por cuanto la normativa responsabiliza de ese modo en los casos que haya operado un daño por vicio o riesgo de la cosa y / o en la prestación de un servicio. La reforma (Ley 24.999) limita a dos supuestos la responsabilidad entre fabricantes vendedores y distribuidores, esto es la prestación de la garantía legal y el daño por el vicio o riesgo de la cosa o prestación de un servicio, supuestos éstos que no se dan en la especie.</w:t>
      </w:r>
    </w:p>
    <w:p>
      <w:pPr>
        <w:pStyle w:val="[Normal]"/>
        <w:spacing w:line="360" w:lineRule="auto"/>
        <w:ind w:firstLine="1134"/>
        <w:jc w:val="both"/>
        <w:rPr>
          <w:lang w:val="es-AR" w:eastAsia="es-AR" w:bidi="es-AR"/>
        </w:rPr>
      </w:pPr>
      <w:r>
        <w:rPr>
          <w:lang w:val="es-AR" w:eastAsia="es-AR" w:bidi="es-AR"/>
        </w:rPr>
        <w:t xml:space="preserve">Se queja también, de las sumas de dinero que se condenó a reintegrar en concepto de gastos de flete, formularios, patentamiento, dado que los mismos nunca ingresaron a su patrimonio sino por el contrario los percibió la concesionaria codemandada lo que además es acreditado por las facturas traídas por el actor.</w:t>
      </w:r>
    </w:p>
    <w:p>
      <w:pPr>
        <w:pStyle w:val="[Normal]"/>
        <w:spacing w:line="360" w:lineRule="auto"/>
        <w:ind w:firstLine="1134"/>
        <w:jc w:val="both"/>
        <w:rPr>
          <w:lang w:val="es-AR" w:eastAsia="es-AR" w:bidi="es-AR"/>
        </w:rPr>
      </w:pPr>
      <w:r>
        <w:rPr>
          <w:lang w:val="es-AR" w:eastAsia="es-AR" w:bidi="es-AR"/>
        </w:rPr>
        <w:t xml:space="preserve">Considera que la misma solución recae sobre los montos a reintegrar por el seguro desde el mes de diciembre 2016 hasta junio de 2017 y para ello explica la operatoria. Y que si el seguro comenzó a abonarse con anterioridad a la entrega del vehículo, ello obedeció a que la concesionaria le informó una fecha de entrega, y por otro lado de conformidad al acuerdo arribado en autos en punto a la entrega del vehículo fue en una fecha   distinta. </w:t>
      </w:r>
    </w:p>
    <w:p>
      <w:pPr>
        <w:pStyle w:val="[Normal]"/>
        <w:spacing w:line="360" w:lineRule="auto"/>
        <w:ind w:firstLine="1134"/>
        <w:jc w:val="both"/>
        <w:rPr>
          <w:lang w:val="es-AR" w:eastAsia="es-AR" w:bidi="es-AR"/>
        </w:rPr>
      </w:pPr>
      <w:r>
        <w:rPr>
          <w:lang w:val="es-AR" w:eastAsia="es-AR" w:bidi="es-AR"/>
        </w:rPr>
        <w:t xml:space="preserve">Insiste que su parte no recibió las sumas por el seguro, por el contrario los importes son transferidos a la aseguradora, actuando su parte solamente como mandataria.</w:t>
      </w:r>
    </w:p>
    <w:p>
      <w:pPr>
        <w:pStyle w:val="[Normal]"/>
        <w:spacing w:line="360" w:lineRule="auto"/>
        <w:ind w:firstLine="1134"/>
        <w:jc w:val="both"/>
        <w:rPr>
          <w:lang w:val="es-AR" w:eastAsia="es-AR" w:bidi="es-AR"/>
        </w:rPr>
      </w:pPr>
      <w:r>
        <w:rPr>
          <w:lang w:val="es-AR" w:eastAsia="es-AR" w:bidi="es-AR"/>
        </w:rPr>
        <w:t xml:space="preserve">En otro punto, se duele de la sentencia en tanto condena a su parte al pago de una suma de dinero en concepto de daño moral, cuando no hay prueba alguna de su existencia cuando el mismo en materia contractual no se presume y en abono de su postura transcribe copiosas citas de jurisprudencia.</w:t>
      </w:r>
    </w:p>
    <w:p>
      <w:pPr>
        <w:pStyle w:val="[Normal]"/>
        <w:spacing w:line="360" w:lineRule="auto"/>
        <w:ind w:firstLine="1134"/>
        <w:jc w:val="both"/>
        <w:rPr>
          <w:lang w:val="es-AR" w:eastAsia="es-AR" w:bidi="es-AR"/>
        </w:rPr>
      </w:pPr>
      <w:r>
        <w:rPr>
          <w:lang w:val="es-AR" w:eastAsia="es-AR" w:bidi="es-AR"/>
        </w:rPr>
        <w:t xml:space="preserve">Se queja también de la procedencia del reclamo por gastos de traslado, lo que aparece huérfano de sustento legal, toda vez que no hay prueba alguna que acredite su existencia y así al fallar de este modo violó la congruencia.</w:t>
      </w:r>
    </w:p>
    <w:p>
      <w:pPr>
        <w:pStyle w:val="[Normal]"/>
        <w:spacing w:line="360" w:lineRule="auto"/>
        <w:ind w:firstLine="1134"/>
        <w:jc w:val="both"/>
        <w:rPr>
          <w:lang w:val="es-AR" w:eastAsia="es-AR" w:bidi="es-AR"/>
        </w:rPr>
      </w:pPr>
      <w:r>
        <w:rPr>
          <w:lang w:val="es-AR" w:eastAsia="es-AR" w:bidi="es-AR"/>
        </w:rPr>
        <w:t xml:space="preserve">Por último, se queja  de la imposición en costas a su cargo, por cuanto la sentencia no se recibió en forma íntegra el reclamo actoral por lo que considera que debieron determinarse en base a un porcentaje según la procedencia de las pretensiones.</w:t>
      </w:r>
    </w:p>
    <w:p>
      <w:pPr>
        <w:pStyle w:val="[Normal]"/>
        <w:spacing w:line="360" w:lineRule="auto"/>
        <w:ind w:firstLine="1134"/>
        <w:jc w:val="both"/>
        <w:rPr>
          <w:lang w:val="es-AR" w:eastAsia="es-AR" w:bidi="es-AR"/>
        </w:rPr>
      </w:pPr>
      <w:r>
        <w:rPr>
          <w:lang w:val="es-AR" w:eastAsia="es-AR" w:bidi="es-AR"/>
        </w:rPr>
        <w:t xml:space="preserve">Hace reserva del caso federal, del recurso extraordinario local y pide que en su hora se revoque la sentencia apelada.</w:t>
      </w:r>
    </w:p>
    <w:p>
      <w:pPr>
        <w:pStyle w:val="[Normal]"/>
        <w:spacing w:line="360" w:lineRule="auto"/>
        <w:ind w:firstLine="1134"/>
        <w:jc w:val="both"/>
        <w:rPr>
          <w:lang w:val="es-AR" w:eastAsia="es-AR" w:bidi="es-AR"/>
        </w:rPr>
      </w:pPr>
      <w:r>
        <w:rPr>
          <w:b/>
          <w:lang w:val="es-AR" w:eastAsia="es-AR" w:bidi="es-AR"/>
        </w:rPr>
        <w:t xml:space="preserve">c )</w:t>
      </w:r>
      <w:r>
        <w:rPr>
          <w:lang w:val="es-AR" w:eastAsia="es-AR" w:bidi="es-AR"/>
        </w:rPr>
        <w:t xml:space="preserve"> Ya en tarea  he de tratar el primer agravio relativo a la  solidaridad  de la codemandada  Volkswagen SA. de Ahorro para Fines Determinados por cuanto despejado ello, los restantes reproches de ambos apelantes lo son en relación a las sumas por reintegro, improcedencia de los rubros reclamado, como por el otro lado la inclusión de los desestimados, los  que se han de tratar de modo conjunto.</w:t>
      </w:r>
    </w:p>
    <w:p>
      <w:pPr>
        <w:pStyle w:val="[Normal]"/>
        <w:spacing w:line="360" w:lineRule="auto"/>
        <w:ind w:firstLine="1134"/>
        <w:jc w:val="both"/>
        <w:rPr>
          <w:lang w:val="es-AR" w:eastAsia="es-AR" w:bidi="es-AR"/>
        </w:rPr>
      </w:pPr>
      <w:r>
        <w:rPr>
          <w:b/>
          <w:lang w:val="es-AR" w:eastAsia="es-AR" w:bidi="es-AR"/>
        </w:rPr>
        <w:t xml:space="preserve">1.-</w:t>
      </w:r>
      <w:r>
        <w:rPr>
          <w:lang w:val="es-AR" w:eastAsia="es-AR" w:bidi="es-AR"/>
        </w:rPr>
        <w:t xml:space="preserve"> Dicho ello, entiendo que no lleva razón la codemandada apelante en punto a la limitación de su responsabilidad en los términos del art. 40 de la Ley de consumo y su modificatoria Ley 24.999.</w:t>
      </w:r>
    </w:p>
    <w:p>
      <w:pPr>
        <w:pStyle w:val="[Normal]"/>
        <w:spacing w:line="360" w:lineRule="auto"/>
        <w:ind w:firstLine="1134"/>
        <w:jc w:val="both"/>
        <w:rPr>
          <w:lang w:val="es-AR" w:eastAsia="es-AR" w:bidi="es-AR"/>
        </w:rPr>
      </w:pPr>
      <w:r>
        <w:rPr>
          <w:lang w:val="es-AR" w:eastAsia="es-AR" w:bidi="es-AR"/>
        </w:rPr>
        <w:t xml:space="preserve">No hay disputa en relación a que la parte actora celebró con la concesionaria demandada un contrato de ahorro previo, administrado por la restante codemandada apelante, típico contrato de  adhesión y  de naturaleza consumeril y con ello ajustado al micro clima protectorio de los consumidores con base constitucional. En efecto “…los suscriptores del plan de ahorro previo, con la finalidad de adquirir un bien determinado como destinatario final, sea un mueble o inmueble, están tutelados por la ley de Defensa del Consumidor” (Junyent Bas, Francisco A. y Garzino, María Constanza “La tutela del consumidor en la capitalización y ahorro previo para fines determinados”, La Ley 2013-C, 1065). </w:t>
      </w:r>
    </w:p>
    <w:p>
      <w:pPr>
        <w:pStyle w:val="[Normal]"/>
        <w:spacing w:line="360" w:lineRule="auto"/>
        <w:ind w:firstLine="1134"/>
        <w:jc w:val="both"/>
        <w:rPr>
          <w:lang w:val="es-AR" w:eastAsia="es-AR" w:bidi="es-AR"/>
        </w:rPr>
      </w:pPr>
      <w:r>
        <w:rPr>
          <w:lang w:val="es-AR" w:eastAsia="es-AR" w:bidi="es-AR"/>
        </w:rPr>
        <w:t xml:space="preserve">Delineado así el contrato en cuanto a su naturaleza, cabe decir que distintas Cámaras de Apelaciones de nuestra Provincia se han expedido sobre el punto traído a decidir en el agravio.</w:t>
      </w:r>
    </w:p>
    <w:p>
      <w:pPr>
        <w:pStyle w:val="[Normal]"/>
        <w:spacing w:line="360" w:lineRule="auto"/>
        <w:ind w:firstLine="1134"/>
        <w:jc w:val="both"/>
        <w:rPr>
          <w:lang w:val="es-AR" w:eastAsia="es-AR" w:bidi="es-AR"/>
        </w:rPr>
      </w:pPr>
      <w:r>
        <w:rPr>
          <w:lang w:val="es-AR" w:eastAsia="es-AR" w:bidi="es-AR"/>
        </w:rPr>
        <w:t xml:space="preserve">Así se ha dicho: "... El interés y la causa fin tenida en miras al contratar se alzan como el centro de unión de toda la operatoria, permitiendo atribuirles obligaciones concretas a los diferentes integrantes del sistema, más allá de su posición en el negocio. Es un fenómeno conocido en el mundo de los negocios como "conexidad contractual, que adquiere relevancia para interpretar los grupos de contratos donde existe una finalidad supracontractual que inspira su celebración. Por ese motivo, el deslinde de responsabilidad de las partes de cada uno de los negocios debe apreciarse con estrictez, pues el incumplimiento de las obligaciones contractuales no se agota en sus efectos bilaterales, sino que puede repercutir en todo el sistema. De allí que se sostenga que la responsabilidad alcanza a todo aquel que se beneficia con el negocio y no solamente a quien entabla una relación directa con el consumidor. Y la consecuencia de tal conclusión es que estos sujetos -en tanto participan de una misma actividad organizada deben asumir una responsabilidad de carácter "solidario" (CNCom Sala A 3/4/2018 Martini Guido Ignacio c/ Volkswagen SA de Ahorro p/fines determinados s/ Ordinario). Es que "en definitiva, la pretendida  desvinculación total entre la administradora y la concesionaria desconoce el fenómeno de la conexidad contractual ya que es innegable la vigencia del elemento de base causal o teleológica que la conexidad reclama, vale decir, la mediación de un necesario nexo funcional, un propósito legal que no se agota ni puede ser cumplido a través de un vínculo negocial singular, sino que lo trasciende, involucrando uno o más contratos" (Barreiro Rafael F. "Practicas abusivas en el sistema de ahorro previo para la adquisición de automotores. Sobre la prevención y disuación" La Ley 2019-C,218). Es que el sistema de contrato de ahorro previo para fines determinados se diferencia claramente de la compraventa simple y básica, configurando una unión externa de contratos que define este particular sistema de adquisición que integra en su parte organizativa al fabricante, a la sociedad administradora y al concesionario y por la otra parte al ahorrista adquirente del bien en una típica relación de consumo (Ricardo L. Lorenzetti "Tratado de los Contratos Parte Especial" To. I p. 733; arts. 1073 y 1074 CCyCN)... Por ello la sociedad administradora no puede invocar como eximente de la obligación de entrega las demoras en que incurra ni el fabricante ni el concesionario ( Lorenzetti idem p. 736; CNCom Sala B 29/5/97 "Autolatina Argentina c/ IGJ S7 Denuncia" JA del 29/10/97 p. 68; CC0101 MP 107776 RSD-321-1 S 21/12/2001 Juba B1352450; CNCom Sala C 12/02/2015 "Fernández, Héctor O. c. Volkswagen S.A. de Ahorro para fines determinados y otros s/ sumarísimo" La Ley 2015- D , 84)... " (  cfr. CAJunín,  del  17 / 10 / 2019  en causa nº JU-2724-2017 caratulada: "ANDREOLI GUSTAVO FABIAN C/ MONTANARI S.A. Y OTROS S/ DAÑOS Y PERJ. INCUMP. CONTRACTUAL ).</w:t>
      </w:r>
    </w:p>
    <w:p>
      <w:pPr>
        <w:pStyle w:val="[Normal]"/>
        <w:spacing w:line="360" w:lineRule="auto"/>
        <w:ind w:firstLine="1134"/>
        <w:jc w:val="both"/>
        <w:rPr>
          <w:lang w:val="es-AR" w:eastAsia="es-AR" w:bidi="es-AR"/>
        </w:rPr>
      </w:pPr>
      <w:r>
        <w:rPr>
          <w:lang w:val="es-AR" w:eastAsia="es-AR" w:bidi="es-AR"/>
        </w:rPr>
        <w:t xml:space="preserve">"... Analizando la tutela del consumidor en los contratos de ahorro previo, Junyent Bas y Garzino expresaron que “la red contractual permite superar el clásico principio de la relatividad de los contratos previsto en el art. 1137 del Código Civil, y extender las responsabilidad que de aquellos se derive en forma solidaria tanto al fabricante, como al distribuidor, comerciante, administrador del plan de ahorro, etc. es decir, a todos los que han intervenido en la cadena de comercialización” (cfr. Junyent Bas, Francisco A. y Garzino, María Constanza, “La tutela del consumidor en la capitalización y ahorro previo para fines determinados” La Ley 2013-C, 1065 y ss.). Así, en contratos como el de autos, los efectos de la conexidad contractual surgen de la misma ley, la responsabilidad es solidaria sin perjuicio de las acciones de repetición que correspondan (art. 40 de la ley 24.240 –texto según ley 24.999-). Y si bien esta norma contempla los daños ocasionados al consumidor, derivados del defecto o riesgo de la cosa, o de la prestación del servicio, su aplicación se extiende a los casos de incumplimiento en los casos de existencia de una conexidad contractual relevante entre los negocios de consumo (cfr. arts. 1, 2, 3, 4, 10 bis. 36, 40, 65 de la Ley del Consumidor; arts. 1073 y sgtes. del Cód. Civ. y Com.; Wajntraub, Javier H. “La conexidad contractual en el derecho del consumidor”, Revista de Derecho Privado y Comunitario, 2007 – 2, “Contratos Conexos”, pág. 237 y sgtes.; Pita, Enrique Máximo “Los efectos de la conexidad contractual. Las responsabilidades (en las cadenas de comercialización, en los contratos de turismo y en el leasing), Revista de Derecho Privado y Comunitario, 2007 – 2, “Contratos Conexos”, págs. 26 292/293; Junyent Bas, Francisco A. y Garzino, María Constanza “La tutela del consumidor en la capitalización y ahorro previo para fines determinados” La Ley 2013-C, 1065 y ss.; esta Sala, causa 61.297, “Plan Rombo SA…”..." ( CAzul en autos " Alegre, Paola Vanesa c/ Círculo de Inversores SA de Ahorro para Fines Determinados y otro/a s/ Cumplimiento de contratos civiles / comerciales” (causa Nº 62.251).</w:t>
      </w:r>
    </w:p>
    <w:p>
      <w:pPr>
        <w:pStyle w:val="[Normal]"/>
        <w:spacing w:line="360" w:lineRule="auto"/>
        <w:ind w:firstLine="1134"/>
        <w:jc w:val="both"/>
        <w:rPr>
          <w:lang w:val="es-AR" w:eastAsia="es-AR" w:bidi="es-AR"/>
        </w:rPr>
      </w:pPr>
      <w:r>
        <w:rPr>
          <w:lang w:val="es-AR" w:eastAsia="es-AR" w:bidi="es-AR"/>
        </w:rPr>
        <w:t xml:space="preserve">Entonces desde este piso de marcha tenemos que la concesionaria Montanari Automotores SA. vende vehículos Volkswagen  y entre los modos y operatorias de venta  se encuentra el celebrado en autos, esto es mediante plan de ahorro previo que lo administra otra sociedad del mismo grupo y los efectos de aquél contrato inicial entre concesionaria / consumidor se expanden por conexidad contractual y pasa a  formar parte de la cadena de eslabones de comercialización del producto destinado al consumo.</w:t>
      </w:r>
    </w:p>
    <w:p>
      <w:pPr>
        <w:pStyle w:val="[Normal]"/>
        <w:spacing w:line="360" w:lineRule="auto"/>
        <w:ind w:firstLine="1134"/>
        <w:jc w:val="both"/>
        <w:rPr>
          <w:lang w:val="es-AR" w:eastAsia="es-AR" w:bidi="es-AR"/>
        </w:rPr>
      </w:pPr>
      <w:r>
        <w:rPr>
          <w:lang w:val="es-AR" w:eastAsia="es-AR" w:bidi="es-AR"/>
        </w:rPr>
        <w:t xml:space="preserve">"...El supuesto de hecho se configura cuando hay varios contratos que tienen su propia tipicidad, su propia causa y objeto, pero hay una operación económica superior a ellos que les da un sentido único. En estos casos, existe un negocio que se hace a través de varios contratos, lo cual, si bien es normal para las relaciones económicas, es perturbador para los juristas” (conf. Lorenzetti, Ricardo Luis, “Tratados de los Contratos. Parte General” cit., pág. 716; en el mismo sentido y entre otros más, ver: Hernández, Carlos, “Acerca del principio de relatividad de los efectos del contrato y sus tensiones actuales”; Tale, Camilo, “Contratos conexos de adquisición de cosas o servicios y de préstamos otorgado por financiador distinto del proveedor: efectos del incumplimiento del proveedor y de la denegación del préstamo”, ambos en Revista de Derecho Privado y Comunitario, 2007 – 2, “Contratos Conexos”, págs. 21 y ss. y 243 sgtes. respectivamente). En estos casos el consumidor ve afectada su libertad de elección, se genera la denominada cautividad en el mercado, y el autor citado ejemplifica con un supuesto muy similar al caso en juzgamiento: “Un cliente compra un automóvil y el vendedor le impone un prestamista. En este caso hay conexidad, porque el cliente no tiene libertad de elección; celebra dos contratos, con dos sujetos distintos, pero hay una vinculación previa entre los dos últimos (vendedor y prestamista), fundada en una operación  económica que unifica ambos vínculos” ( cfr. Lorenzetti, Ricardo Luis, “Tratados de los Contratos. Parte General” cit., pág. 717) (esta Sala, causa nro. 61.297, del 29/12/2016, en los autos caratulados “Plan Rombo SA de Ahorro para fines determinados c/ Sucesores de Vega Giudiche Carlos Roberto Ezequiel s/ ejecución prendaria” -voto del Dr. Galdós-)" (CAAzul fallo cit. ).</w:t>
      </w:r>
    </w:p>
    <w:p>
      <w:pPr>
        <w:pStyle w:val="[Normal]"/>
        <w:spacing w:line="360" w:lineRule="auto"/>
        <w:ind w:firstLine="1134"/>
        <w:jc w:val="both"/>
        <w:rPr>
          <w:lang w:val="es-AR" w:eastAsia="es-AR" w:bidi="es-AR"/>
        </w:rPr>
      </w:pPr>
      <w:r>
        <w:rPr>
          <w:lang w:val="es-AR" w:eastAsia="es-AR" w:bidi="es-AR"/>
        </w:rPr>
        <w:t xml:space="preserve">"...En ese entramado, y siendo que la causa del contrato celebrado entre la sociedad administradora y el adherente es la obtención de un determinado bien por parte del ahorrista, la primera responsabilidad de aquella es entregar al suscriptor adjudicado el bien adquirido al fabricante. Es deber de la sociedad como mandataria de los integrantes de cada grupo, realizar las diligencias conducentes a la concreción del objeto principal ..." ( CNCom Sala B 14/6/2017 Callejo Diego A c/ Volkswagen SA de Ahorro p/fines determinados" La Ley 2017-E-639 ).</w:t>
      </w:r>
    </w:p>
    <w:p>
      <w:pPr>
        <w:pStyle w:val="[Normal]"/>
        <w:spacing w:line="360" w:lineRule="auto"/>
        <w:ind w:firstLine="1134"/>
        <w:jc w:val="both"/>
        <w:rPr>
          <w:lang w:val="es-AR" w:eastAsia="es-AR" w:bidi="es-AR"/>
        </w:rPr>
      </w:pPr>
      <w:r>
        <w:rPr>
          <w:lang w:val="es-AR" w:eastAsia="es-AR" w:bidi="es-AR"/>
        </w:rPr>
        <w:t xml:space="preserve"> Por ello siendo los codemandados Volkswagen SA. de Ahorro para Fines Determinados  parte primordial en la concreción de la operatoria  celebrada entre el consumidor y concesionaria  la responsabilidad ante el incumplimiento de esta última es que ha de responder de manera solidaria con la concesionarias,  más allá que entre ellas ejerzan el derecho de repetición .(arts. 1, 2, 3, 40 y conc. ley 24.240; 961, 1716, 1724 y ccs. C.C.C.).</w:t>
      </w:r>
    </w:p>
    <w:p>
      <w:pPr>
        <w:pStyle w:val="[Normal]"/>
        <w:spacing w:line="360" w:lineRule="auto"/>
        <w:ind w:firstLine="1134"/>
        <w:jc w:val="both"/>
        <w:rPr>
          <w:lang w:val="es-AR" w:eastAsia="es-AR" w:bidi="es-AR"/>
        </w:rPr>
      </w:pPr>
      <w:r>
        <w:rPr>
          <w:b/>
          <w:lang w:val="es-AR" w:eastAsia="es-AR" w:bidi="es-AR"/>
        </w:rPr>
        <w:t xml:space="preserve">2. Rubros y Reintegros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sentencia, se condenó al reintegro de sumas de dinero en concepto de gastos de flete, formularios, patentamiento, pago de seguro.</w:t>
      </w:r>
    </w:p>
    <w:p>
      <w:pPr>
        <w:pStyle w:val="[Normal]"/>
        <w:spacing w:line="360" w:lineRule="auto"/>
        <w:ind w:firstLine="1134"/>
        <w:jc w:val="both"/>
        <w:rPr>
          <w:lang w:val="es-AR" w:eastAsia="es-AR" w:bidi="es-AR"/>
        </w:rPr>
      </w:pPr>
      <w:r>
        <w:rPr>
          <w:lang w:val="es-AR" w:eastAsia="es-AR" w:bidi="es-AR"/>
        </w:rPr>
        <w:t xml:space="preserve">Insiste la codemandada apelante,  que ella es administradora de los fondos de los ahorristas y que los montos por los conceptos antes dicho ingresaron a la concesionaria y a la Aseguradora.</w:t>
      </w:r>
    </w:p>
    <w:p>
      <w:pPr>
        <w:pStyle w:val="[Normal]"/>
        <w:spacing w:line="360" w:lineRule="auto"/>
        <w:ind w:firstLine="1134"/>
        <w:jc w:val="both"/>
        <w:rPr>
          <w:lang w:val="es-AR" w:eastAsia="es-AR" w:bidi="es-AR"/>
        </w:rPr>
      </w:pPr>
      <w:r>
        <w:rPr>
          <w:lang w:val="es-AR" w:eastAsia="es-AR" w:bidi="es-AR"/>
        </w:rPr>
        <w:t xml:space="preserve">Empero, ello no es óbice para responder atento los términos del tratamiento del primer agravio, en cuanto es responsable de la actuación de la empresa conexa,  constituyendo ambas una unidad inescindible frente al comprador ( art. 40 Ley 24.240 ).</w:t>
      </w:r>
    </w:p>
    <w:p>
      <w:pPr>
        <w:pStyle w:val="[Normal]"/>
        <w:spacing w:line="360" w:lineRule="auto"/>
        <w:ind w:firstLine="1134"/>
        <w:jc w:val="both"/>
        <w:rPr>
          <w:lang w:val="es-AR" w:eastAsia="es-AR" w:bidi="es-AR"/>
        </w:rPr>
      </w:pPr>
      <w:r>
        <w:rPr>
          <w:lang w:val="es-AR" w:eastAsia="es-AR" w:bidi="es-AR"/>
        </w:rPr>
        <w:t xml:space="preserve">"...El enfoque no puede basarse en el contrato, sino en la interacción de un grupo de contratos que actúa en forma relacionada, de modo que el contrato es un instrumento para la realización de un negocio. Este enfoque permite establecer que hay una finalidad negocial supracontractual que justifica el nacimiento y funcionamiento de una red. El grupo que surge de esa manera no es sólo una unión convencional de contratos, que puede ser analizada mediante el examen de los vínculos individuales. Se requiere una comprensión del sistema y, por ello, de una teoría sistémica. (Ricardo L. LORENZETTI y Claudia LIMA MÁRQUEZ. Contratos de Servicios a los Consumidores. Ed. Rbuinzal-Culzoni, año 2005, página 29). Hay jurisprudencia sobre esta teoría. Veamos: “...En lo atinente a la condena solidaria, que constituye materia de agravio, cabe precisar que la responsabilidad de las co-demandadas deriva de una obligación nacida en un contrato conexo, en tanto la designación de una entidad habilitada -como “Banco Francés”- para actuar como receptor de los vales, fue una modalidad que se impuso a la actora por un listado cerrado de opciones, delegando ”LT” una actividad inherente al negocio que desarrollaba; existiendo así una dependencia técnica entre las co-demandadas (CNCom., sala B, “Baskir c/ Zanella”, del 27-11-95, LL 1996-C,164).</w:t>
      </w:r>
    </w:p>
    <w:p>
      <w:pPr>
        <w:pStyle w:val="[Normal]"/>
        <w:spacing w:line="360" w:lineRule="auto"/>
        <w:ind w:firstLine="1134"/>
        <w:jc w:val="both"/>
        <w:rPr>
          <w:lang w:val="es-AR" w:eastAsia="es-AR" w:bidi="es-AR"/>
        </w:rPr>
      </w:pPr>
      <w:r>
        <w:rPr>
          <w:lang w:val="es-AR" w:eastAsia="es-AR" w:bidi="es-AR"/>
        </w:rPr>
        <w:t xml:space="preserve"> Pero cualquiera sea el enfoque que se utilice o prefiera, en ningún caso el consumidor estará limitado por la existencia de esta compleja trama contractual; por el contrario, en virtud del artículo 40ª LDC será beneficiario de ella, pudiendo dirigir sus acciones contra todos y cada uno de los integrantes de la red..." ( elDial.com - CC287C.).</w:t>
      </w:r>
    </w:p>
    <w:p>
      <w:pPr>
        <w:pStyle w:val="[Normal]"/>
        <w:spacing w:line="360" w:lineRule="auto"/>
        <w:ind w:firstLine="1134"/>
        <w:jc w:val="both"/>
        <w:rPr>
          <w:lang w:val="es-AR" w:eastAsia="es-AR" w:bidi="es-AR"/>
        </w:rPr>
      </w:pPr>
      <w:r>
        <w:rPr>
          <w:lang w:val="es-AR" w:eastAsia="es-AR" w:bidi="es-AR"/>
        </w:rPr>
        <w:t xml:space="preserve">Entonces así, siendo ambas empresas una unidad inescindible frente el consumidor, ambas responden frente a él, más allá de donde ingresaran las sumas de dinero que denuncia la apelante. El art. 40 de la Ley de Consumo amplía la legitimación pasiva cuando como en el caso las empresas unidas por un primer contrato que da lugar o nacimiento a otras relaciones jurídicas con sujetos distintos frente al incumplimiento de uno responden todos los que se benefician con ese contrato.</w:t>
      </w:r>
    </w:p>
    <w:p>
      <w:pPr>
        <w:pStyle w:val="[Normal]"/>
        <w:spacing w:line="360" w:lineRule="auto"/>
        <w:ind w:firstLine="1134"/>
        <w:jc w:val="both"/>
        <w:rPr>
          <w:lang w:val="es-AR" w:eastAsia="es-AR" w:bidi="es-AR"/>
        </w:rPr>
      </w:pPr>
      <w:r>
        <w:rPr>
          <w:lang w:val="es-AR" w:eastAsia="es-AR" w:bidi="es-AR"/>
        </w:rPr>
        <w:t xml:space="preserve">Ha sido atinado el juez de grado al valorar los presupuestos de procedencia del </w:t>
      </w:r>
      <w:r>
        <w:rPr>
          <w:b/>
          <w:lang w:val="es-AR" w:eastAsia="es-AR" w:bidi="es-AR"/>
        </w:rPr>
        <w:t xml:space="preserve">daño moral</w:t>
      </w:r>
      <w:r>
        <w:rPr>
          <w:lang w:val="es-AR" w:eastAsia="es-AR" w:bidi="es-AR"/>
        </w:rPr>
        <w:t xml:space="preserve"> por lo que no es de recibo el agravio de ambos contendientes tanto en relación a la improcedencia por falta de prueba, como en la cuantificación de este rubro. </w:t>
      </w:r>
    </w:p>
    <w:p>
      <w:pPr>
        <w:pStyle w:val="[Normal]"/>
        <w:spacing w:line="360" w:lineRule="auto"/>
        <w:ind w:firstLine="1134"/>
        <w:jc w:val="both"/>
        <w:rPr>
          <w:lang w:val="es-AR" w:eastAsia="es-AR" w:bidi="es-AR"/>
        </w:rPr>
      </w:pPr>
      <w:r>
        <w:rPr>
          <w:lang w:val="es-AR" w:eastAsia="es-AR" w:bidi="es-AR"/>
        </w:rPr>
        <w:t xml:space="preserve">Así en punto al primero, contrariamente a lo expuesto por el quejoso, el sentenciante al tratar el rubro da por acreditados  hechos que motivan su recepción y así lo expresa:   "... analizados en el considerando pertinente...".  Y al tratarlos en la sentencia,  dan cuenta del derrotero que transitó el actor y como  consecuencia de tal actuación frente a los distintos y diversos reclamos efectuados, los responsabiliza por su incumplimiento y no obstante ello  la queja por el contrario nada dice en relación a la mencionada valoración por lo que deviene inaudible (art. 260 CPC.).</w:t>
      </w:r>
    </w:p>
    <w:p>
      <w:pPr>
        <w:pStyle w:val="[Normal]"/>
        <w:spacing w:line="360" w:lineRule="auto"/>
        <w:ind w:firstLine="1134"/>
        <w:jc w:val="both"/>
        <w:rPr>
          <w:lang w:val="es-AR" w:eastAsia="es-AR" w:bidi="es-AR"/>
        </w:rPr>
      </w:pPr>
      <w:r>
        <w:rPr>
          <w:lang w:val="es-AR" w:eastAsia="es-AR" w:bidi="es-AR"/>
        </w:rPr>
        <w:t xml:space="preserve">Y en relación a la queja por la cuantificación de la suma, la misma se  basa en que  no obstante lo fallado es la  pedida en demanda, a dicho  pedimento inicial se  aditó la frase "lo que en más o en menos que entienda el Sr. Juez" y estima que, la inflación atento el tiempo transcurrido hasta la sentencia (tres años),  ha tornado exiguo el monto fijado.</w:t>
      </w:r>
    </w:p>
    <w:p>
      <w:pPr>
        <w:pStyle w:val="[Normal]"/>
        <w:spacing w:line="360" w:lineRule="auto"/>
        <w:ind w:firstLine="1134"/>
        <w:jc w:val="both"/>
        <w:rPr>
          <w:lang w:val="es-AR" w:eastAsia="es-AR" w:bidi="es-AR"/>
        </w:rPr>
      </w:pPr>
      <w:r>
        <w:rPr>
          <w:lang w:val="es-AR" w:eastAsia="es-AR" w:bidi="es-AR"/>
        </w:rPr>
        <w:t xml:space="preserve">Empero "...En general, la condena indemnizatoria del daño moral ha de depender de la suficiente alegación que del perjuicio formule el reclamante (arg. arts. 50 inc. 6 y 27, último párrafo, CCA y 330 inc. 6, CPCC) como de la prueba que lo corrobore, sumado a ello la prudente valoración judicial fundada en las particulares circunstancias de la controversia y en la sana crítica (arts. 77 y 78 inc. 3, ley 12.008, conf. mod. ley 13.101; 163 inc. 5, 375 y concs., CPCC). Es que, más allá de la innegable dinamicidad con que en el proceso se distribuyen las cargas probatorias, se encuentra subsistente el criterio orientador que exige la prueba del daño -en el que se comprende al daño moral, dado su carácter resarcitorio y no punitivo- a quien lo alega..." ( SCBA LP A 74410 RSD-58-20 S 24/06/2020 ).</w:t>
      </w:r>
    </w:p>
    <w:p>
      <w:pPr>
        <w:pStyle w:val="[Normal]"/>
        <w:spacing w:line="360" w:lineRule="auto"/>
        <w:ind w:firstLine="1134"/>
        <w:jc w:val="both"/>
        <w:rPr>
          <w:lang w:val="es-AR" w:eastAsia="es-AR" w:bidi="es-AR"/>
        </w:rPr>
      </w:pPr>
      <w:r>
        <w:rPr>
          <w:lang w:val="es-AR" w:eastAsia="es-AR" w:bidi="es-AR"/>
        </w:rPr>
        <w:t xml:space="preserve">En demanda cuando se peticiona y cuantifica el reclamo (fs. 116 vta. 117), a tal efecto se refiere a todas situaciones particulares  que la parte dice haber vivido como consecuencia del incumplimiento. Entonces teniendo en cuenta el antecedente de la Suprema Corte de la Provincia de Bs. As. citado, los términos de la demanda, la conclusión del sentenciante deviene ajustada a derecho, toda vez que ha evaluado el monto al tiempo de la sentencia conforme lo valorado al efecto -art. 165 CPCC- careciendo de prueba específica de una mayor mortificación en contradicción a lo normado por el art. 375 CPCC y  ello sella la suerte de la queja.</w:t>
      </w:r>
    </w:p>
    <w:p>
      <w:pPr>
        <w:pStyle w:val="[Normal]"/>
        <w:spacing w:line="360" w:lineRule="auto"/>
        <w:ind w:firstLine="1134"/>
        <w:jc w:val="both"/>
        <w:rPr>
          <w:lang w:val="es-AR" w:eastAsia="es-AR" w:bidi="es-AR"/>
        </w:rPr>
      </w:pPr>
      <w:r>
        <w:rPr>
          <w:lang w:val="es-AR" w:eastAsia="es-AR" w:bidi="es-AR"/>
        </w:rPr>
        <w:t xml:space="preserve">Considero que lo reclamado en concepto </w:t>
      </w:r>
      <w:r>
        <w:rPr>
          <w:b/>
          <w:lang w:val="es-AR" w:eastAsia="es-AR" w:bidi="es-AR"/>
        </w:rPr>
        <w:t xml:space="preserve">gastos de traslado</w:t>
      </w:r>
      <w:r>
        <w:rPr>
          <w:lang w:val="es-AR" w:eastAsia="es-AR" w:bidi="es-AR"/>
        </w:rPr>
        <w:t xml:space="preserve"> también es acertado lo decido por el juez de grado, toda vez que  dio por acreditado los reiterados traslados efectuados a la concesionaria  local, afrontados por el actor generados por el incumplimiento en el que incurrieran las demandadas. Y frente a ello,  la sola referencia a la falta de prueba para decidir como se hizo, no constituye una crítica razonada a la motivación dada en sentencia (art. 260 del CPCC), por lo que no es de recibo el agravio.</w:t>
      </w:r>
    </w:p>
    <w:p>
      <w:pPr>
        <w:pStyle w:val="[Normal]"/>
        <w:spacing w:line="360" w:lineRule="auto"/>
        <w:ind w:firstLine="1134"/>
        <w:jc w:val="both"/>
        <w:rPr>
          <w:lang w:val="es-AR" w:eastAsia="es-AR" w:bidi="es-AR"/>
        </w:rPr>
      </w:pPr>
      <w:r>
        <w:rPr>
          <w:lang w:val="es-AR" w:eastAsia="es-AR" w:bidi="es-AR"/>
        </w:rPr>
        <w:t xml:space="preserve">Tampoco se advierte desde acá que se haya fallado en violación al principio de congruencia para lo cual por la identidad de la situación he de transcribir y hago mio lo expuesto por el Dr. Roberto M. Degleue en antecedente de esta Alzada: </w:t>
      </w:r>
      <w:r>
        <w:rPr>
          <w:i/>
          <w:lang w:val="es-AR" w:eastAsia="es-AR" w:bidi="es-AR"/>
        </w:rPr>
        <w:t xml:space="preserve">"...No se advierte que la decisión adoptada en primera instancia viole el principio de congruencia, entendido éste como la correspondencia entre la pretensión jurídica planteada y lo resuelto; su sentido es que el pleito sea conducido en términos de razonable equilibrio -dentro de la bilateralidad del contradictorio- de manera que la sentencia se muestre atenta a la pretensión jurídica que forma el contenido de la disputa y no ocurra un quebrantamiento de la misma. No se observan omisiones en la consideración de la temática planteada ni una demasía decisoria que signifique una excedencia de juzgamiento por ocuparse el juez de cuestiones no planteadas...".</w:t>
      </w:r>
      <w:r>
        <w:rPr>
          <w:lang w:val="es-AR" w:eastAsia="es-AR" w:bidi="es-AR"/>
        </w:rPr>
        <w:t xml:space="preserve"> (CAP. causa N° 3840-20  "GUILLAUME ANDREA MARIA C/ ALBORNOZ PEDRO JOSE Y OTRO/A S/ PRESCRIPCION ADQUISITIVA LARGA" ).</w:t>
      </w:r>
    </w:p>
    <w:p>
      <w:pPr>
        <w:pStyle w:val="[Normal]"/>
        <w:spacing w:line="360" w:lineRule="auto"/>
        <w:ind w:firstLine="1134"/>
        <w:jc w:val="both"/>
        <w:rPr>
          <w:lang w:val="es-AR" w:eastAsia="es-AR" w:bidi="es-AR"/>
        </w:rPr>
      </w:pPr>
      <w:r>
        <w:rPr>
          <w:lang w:val="es-AR" w:eastAsia="es-AR" w:bidi="es-AR"/>
        </w:rPr>
        <w:t xml:space="preserve">Tampoco ha de prosperar la queja en punto a la imposición total de las costas por el resultado parcial de la demanda, toda vez que ello no importa ceder la calidad de vencido. Para así decidir he de seguir lo expuesto por el Cimero Tribunal Provincial cuando en lo que aquí interesa destacar dijo: "... No es admisible parcelar el litigio en relación a los distintos reclamos, sino que ha de estarse a un enfoque global del resultado de la contienda..." (SCBA. Ac y Sent. 1973 - II - 144). "...De esta manera, la circunstancia de que el éxito de la demanda sea parcial, no le quita al demandado la calidad de vencido ( SCBA. Ac. y sent. 1974 _ I - 1006 ), aunque la demanda haya prosperado en menor medida (SCBA. Ac. 30.926).</w:t>
      </w:r>
    </w:p>
    <w:p>
      <w:pPr>
        <w:pStyle w:val="[Normal]"/>
        <w:spacing w:line="360" w:lineRule="auto"/>
        <w:ind w:firstLine="1134"/>
        <w:jc w:val="both"/>
        <w:rPr>
          <w:lang w:val="es-AR" w:eastAsia="es-AR" w:bidi="es-AR"/>
        </w:rPr>
      </w:pPr>
      <w:r>
        <w:rPr>
          <w:lang w:val="es-AR" w:eastAsia="es-AR" w:bidi="es-AR"/>
        </w:rPr>
        <w:t xml:space="preserve">Si entiendo justa la queja esgrimida en relación a la denegación del reclamo por la diferencia surgente entre lo abonado por el actor para incluir como accesorio el techo eléctrico corredizo y lo recibido en el acuerdo de fs. 170/171, en menos.</w:t>
      </w:r>
    </w:p>
    <w:p>
      <w:pPr>
        <w:pStyle w:val="[Normal]"/>
        <w:spacing w:line="360" w:lineRule="auto"/>
        <w:ind w:firstLine="1134"/>
        <w:jc w:val="both"/>
        <w:rPr>
          <w:lang w:val="es-AR" w:eastAsia="es-AR" w:bidi="es-AR"/>
        </w:rPr>
      </w:pPr>
      <w:r>
        <w:rPr>
          <w:lang w:val="es-AR" w:eastAsia="es-AR" w:bidi="es-AR"/>
        </w:rPr>
        <w:t xml:space="preserve">En efecto, se halla acreditado y no es objeto de discusión que el actor abonó por tal concepto la suma de $ 18.885 y que a la firma del acuerdo de entrega de la unidad vehicular se le entregó por ello la suma de $ 9.116. Y aquí sí no aparece atinada la interpretación que el Sr. juez a-quo le da a los términos del referido acuerdo.</w:t>
      </w:r>
    </w:p>
    <w:p>
      <w:pPr>
        <w:pStyle w:val="[Normal]"/>
        <w:spacing w:line="360" w:lineRule="auto"/>
        <w:ind w:firstLine="1134"/>
        <w:jc w:val="both"/>
        <w:rPr>
          <w:lang w:val="es-AR" w:eastAsia="es-AR" w:bidi="es-AR"/>
        </w:rPr>
      </w:pPr>
      <w:r>
        <w:rPr>
          <w:lang w:val="es-AR" w:eastAsia="es-AR" w:bidi="es-AR"/>
        </w:rPr>
        <w:t xml:space="preserve">Es que, si bien en  la primera de las cláusulas  del acuerdo de entrega del automotor, se dejó constancia que la Concesionaria no tiene la unidad vehicular adquirida por el actor (accesorio del techo eléctrico corredizo ) y  que tampoco la tendrá en lo sucesivo, es  por ello que  le entrega al actor la suma de $ 9.116. </w:t>
      </w:r>
    </w:p>
    <w:p>
      <w:pPr>
        <w:pStyle w:val="[Normal]"/>
        <w:spacing w:line="360" w:lineRule="auto"/>
        <w:ind w:firstLine="1134"/>
        <w:jc w:val="both"/>
        <w:rPr>
          <w:lang w:val="es-AR" w:eastAsia="es-AR" w:bidi="es-AR"/>
        </w:rPr>
      </w:pPr>
      <w:r>
        <w:rPr>
          <w:lang w:val="es-AR" w:eastAsia="es-AR" w:bidi="es-AR"/>
        </w:rPr>
        <w:t xml:space="preserve">Empero,  la cuestión no quedó cerrada ahí, toda vez que  en la cuarta cláusula se dejó sentado que </w:t>
      </w:r>
      <w:r>
        <w:rPr>
          <w:i/>
          <w:lang w:val="es-AR" w:eastAsia="es-AR" w:bidi="es-AR"/>
        </w:rPr>
        <w:t xml:space="preserve">"...las partes dejan claramente manifestado que el presente trámite judicial continúa su curso con total normalidad, no implicando el presente conciliación alguna en relación a todos y a cada uno de los rubros y conceptos reclamados por el actor en demanda, con la lógica excepción de la entrega de la unidad...".</w:t>
      </w:r>
    </w:p>
    <w:p>
      <w:pPr>
        <w:pStyle w:val="[Normal]"/>
        <w:spacing w:line="360" w:lineRule="auto"/>
        <w:ind w:firstLine="1134"/>
        <w:jc w:val="both"/>
        <w:rPr>
          <w:lang w:val="es-AR" w:eastAsia="es-AR" w:bidi="es-AR"/>
        </w:rPr>
      </w:pPr>
      <w:r>
        <w:rPr>
          <w:lang w:val="es-AR" w:eastAsia="es-AR" w:bidi="es-AR"/>
        </w:rPr>
        <w:t xml:space="preserve">De ello se deduce, que no fue aceptada la suma en concepto total del pedimento y que tampoco se trató de conciliación o de una transacción, por ello entiendo que la suma de más abonada en concepto de accesorio por parte del actor, le debe ser devuelta, so riesgo de incurrir en un enriquecimiento sin causa.</w:t>
      </w:r>
    </w:p>
    <w:p>
      <w:pPr>
        <w:pStyle w:val="[Normal]"/>
        <w:spacing w:line="360" w:lineRule="auto"/>
        <w:ind w:firstLine="1134"/>
        <w:jc w:val="both"/>
        <w:rPr>
          <w:lang w:val="es-AR" w:eastAsia="es-AR" w:bidi="es-AR"/>
        </w:rPr>
      </w:pPr>
      <w:r>
        <w:rPr>
          <w:lang w:val="es-AR" w:eastAsia="es-AR" w:bidi="es-AR"/>
        </w:rPr>
        <w:t xml:space="preserve">Entonces así, se recibe el agravio y en consecuencia se ha de aditar a la sentencia la suma de</w:t>
      </w:r>
      <w:r>
        <w:rPr>
          <w:b/>
          <w:lang w:val="es-AR" w:eastAsia="es-AR" w:bidi="es-AR"/>
        </w:rPr>
        <w:t xml:space="preserve"> $ 9.769</w:t>
      </w:r>
      <w:r>
        <w:rPr>
          <w:lang w:val="es-AR" w:eastAsia="es-AR" w:bidi="es-AR"/>
        </w:rPr>
        <w:t xml:space="preserve">, que es la diferencia entre lo abonado y lo percibido.</w:t>
      </w:r>
    </w:p>
    <w:p>
      <w:pPr>
        <w:pStyle w:val="[Normal]"/>
        <w:spacing w:line="360" w:lineRule="auto"/>
        <w:ind w:firstLine="1134"/>
        <w:jc w:val="both"/>
        <w:rPr>
          <w:lang w:val="es-AR" w:eastAsia="es-AR" w:bidi="es-AR"/>
        </w:rPr>
      </w:pPr>
      <w:r>
        <w:rPr>
          <w:lang w:val="es-AR" w:eastAsia="es-AR" w:bidi="es-AR"/>
        </w:rPr>
        <w:t xml:space="preserve">En punto a la sanción del art. 47 de la Ley de Consumo (24. 240), soy de opinión que la  queja no es atendible.</w:t>
      </w:r>
    </w:p>
    <w:p>
      <w:pPr>
        <w:pStyle w:val="[Normal]"/>
        <w:spacing w:line="360" w:lineRule="auto"/>
        <w:ind w:firstLine="1134"/>
        <w:jc w:val="both"/>
        <w:rPr>
          <w:lang w:val="es-AR" w:eastAsia="es-AR" w:bidi="es-AR"/>
        </w:rPr>
      </w:pPr>
      <w:r>
        <w:rPr>
          <w:lang w:val="es-AR" w:eastAsia="es-AR" w:bidi="es-AR"/>
        </w:rPr>
        <w:t xml:space="preserve">La Ley de defensa del consumidor, en el Capitulo  XII, como título lleva Procedimientos y Sanciones y seguidamente regula el primero mediante las Actuaciones Administrativas (art. 45). La última parte del citado artículo reza: </w:t>
      </w:r>
      <w:r>
        <w:rPr>
          <w:i/>
          <w:lang w:val="es-AR" w:eastAsia="es-AR" w:bidi="es-AR"/>
        </w:rPr>
        <w:t xml:space="preserve">"...Las provincias, dictarán las normas referidas a la actuación de las autoridades administrativas locales, estableciendo un régimen de procedimiento en forma compatible con el de sus respectivas constituciones...".</w:t>
      </w:r>
    </w:p>
    <w:p>
      <w:pPr>
        <w:pStyle w:val="[Normal]"/>
        <w:spacing w:line="360" w:lineRule="auto"/>
        <w:ind w:firstLine="1134"/>
        <w:jc w:val="both"/>
        <w:rPr>
          <w:lang w:val="es-AR" w:eastAsia="es-AR" w:bidi="es-AR"/>
        </w:rPr>
      </w:pPr>
      <w:r>
        <w:rPr>
          <w:lang w:val="es-AR" w:eastAsia="es-AR" w:bidi="es-AR"/>
        </w:rPr>
        <w:t xml:space="preserve">Y así, nuestra ley Provincial 13.133 regula el procedimiento administrativo y el art. 36 al efecto dice: </w:t>
      </w:r>
      <w:r>
        <w:rPr>
          <w:i/>
          <w:lang w:val="es-AR" w:eastAsia="es-AR" w:bidi="es-AR"/>
        </w:rPr>
        <w:t xml:space="preserve">"...El procedimiento para la inspección, comprobación y juzgamiento de las infracciones a la Ley de Defensa del Consumidor 24.240 y sus normas reglamentarias en la Provincia de Buenos Aires, se ajustará a las normas previstas en la misma y a las prescripciones de la presente ley, siendo de aplicación supletoria el Código de Procedimiento en lo Penal de la Provincia de Buenos Aires -con excepción del artículo 430° y de lo previsto en el artículo 23° de la presente Ley- para resolver cuestiones no previstas expresamente en tanto no resulten incompatibles con la Ley 24.240 y esta Ley".</w:t>
      </w:r>
      <w:r>
        <w:rPr>
          <w:lang w:val="es-AR" w:eastAsia="es-AR" w:bidi="es-AR"/>
        </w:rPr>
        <w:t xml:space="preserve"> Seguidamente el artículo 37 expresa: </w:t>
      </w:r>
      <w:r>
        <w:rPr>
          <w:i/>
          <w:lang w:val="es-AR" w:eastAsia="es-AR" w:bidi="es-AR"/>
        </w:rPr>
        <w:t xml:space="preserve">" ...Las actuaciones correspondientes a la Ley 24.240 y esta Ley, podrán iniciarse de oficio o por denuncia del consumidor o usuario, sin perjuicio de quienes resulten legitimados por aplicación del artículo 26º..." .</w:t>
      </w:r>
    </w:p>
    <w:p>
      <w:pPr>
        <w:pStyle w:val="[Normal]"/>
        <w:spacing w:line="360" w:lineRule="auto"/>
        <w:ind w:firstLine="1134"/>
        <w:jc w:val="both"/>
        <w:rPr>
          <w:lang w:val="es-AR" w:eastAsia="es-AR" w:bidi="es-AR"/>
        </w:rPr>
      </w:pPr>
      <w:r>
        <w:rPr>
          <w:lang w:val="es-AR" w:eastAsia="es-AR" w:bidi="es-AR"/>
        </w:rPr>
        <w:t xml:space="preserve">Tal como lo reza el art. 37 citado, el proceso administrativo se inicia a instancia de quien tenga un interés particular, por lo que si en el caso, si el actor pretende iniciar las actuaciones administrativas está en su derecho, empero el Poder Judicial no puede constituirse en parte  por lo que el agravio en tal sentido cabe desestimarse.</w:t>
      </w:r>
    </w:p>
    <w:p>
      <w:pPr>
        <w:pStyle w:val="[Normal]"/>
        <w:spacing w:line="360" w:lineRule="auto"/>
        <w:ind w:firstLine="1134"/>
        <w:jc w:val="both"/>
        <w:rPr>
          <w:lang w:val="es-AR" w:eastAsia="es-AR" w:bidi="es-AR"/>
        </w:rPr>
      </w:pPr>
      <w:r>
        <w:rPr>
          <w:lang w:val="es-AR" w:eastAsia="es-AR" w:bidi="es-AR"/>
        </w:rPr>
        <w:t xml:space="preserve">También corresponde desestimar la queja en tanto la sentencia en crisis no recibe el reclamo por </w:t>
      </w:r>
      <w:r>
        <w:rPr>
          <w:b/>
          <w:lang w:val="es-AR" w:eastAsia="es-AR" w:bidi="es-AR"/>
        </w:rPr>
        <w:t xml:space="preserve">privación de uso</w:t>
      </w:r>
      <w:r>
        <w:rPr>
          <w:lang w:val="es-AR" w:eastAsia="es-AR" w:bidi="es-AR"/>
        </w:rPr>
        <w:t xml:space="preserve">, dado que siguiendo los lineamientos de los antecedentes de nuestra Excma. Corte Provincial, el rubro para que sea procedente deber ser acreditado (SCBA. 44.760 entre otros) y ello no ha sucedido. </w:t>
      </w:r>
    </w:p>
    <w:p>
      <w:pPr>
        <w:pStyle w:val="[Normal]"/>
        <w:spacing w:line="360" w:lineRule="auto"/>
        <w:ind w:firstLine="1134"/>
        <w:jc w:val="both"/>
        <w:rPr>
          <w:lang w:val="es-AR" w:eastAsia="es-AR" w:bidi="es-AR"/>
        </w:rPr>
      </w:pPr>
      <w:r>
        <w:rPr>
          <w:lang w:val="es-AR" w:eastAsia="es-AR" w:bidi="es-AR"/>
        </w:rPr>
        <w:t xml:space="preserve">En efecto, en demanda, el reclamo solo es fundado en citas de jurisprudencia que consideran que aún cuando no se acredite un perjuicio real es procedente el reclamo con solo probar la indisponibilidad y luego de ello el actor lo  estima en la suma de $ 10.000.</w:t>
      </w:r>
    </w:p>
    <w:p>
      <w:pPr>
        <w:pStyle w:val="[Normal]"/>
        <w:spacing w:line="360" w:lineRule="auto"/>
        <w:ind w:firstLine="1134"/>
        <w:jc w:val="both"/>
        <w:rPr>
          <w:lang w:val="es-AR" w:eastAsia="es-AR" w:bidi="es-AR"/>
        </w:rPr>
      </w:pPr>
      <w:r>
        <w:rPr>
          <w:lang w:val="es-AR" w:eastAsia="es-AR" w:bidi="es-AR"/>
        </w:rPr>
        <w:t xml:space="preserve">Contrariamente a ello  "... Es principio recibido que debe probarse la existencia de cualquier daño, y la privación de uso de un automotor no escapa a esa regla ni constituye un supuesto de daño "in re ipsa", por lo que quien reclama por este rubro debe probar efectivamente que esa privación le ocasionó un perjuicio. No es válido acudir en estos supuestos a la mera valoración "presuncional" del perjuicios, por lo cual ha de traerse a la contienda la prueba de los concretos deméritos económicos..." (CC0203 LP 123247 RSD 98/18 S 30/05/2018).</w:t>
      </w:r>
    </w:p>
    <w:p>
      <w:pPr>
        <w:pStyle w:val="[Normal]"/>
        <w:spacing w:line="360" w:lineRule="auto"/>
        <w:ind w:firstLine="1134"/>
        <w:jc w:val="both"/>
        <w:rPr>
          <w:lang w:val="es-AR" w:eastAsia="es-AR" w:bidi="es-AR"/>
        </w:rPr>
      </w:pPr>
      <w:r>
        <w:rPr>
          <w:lang w:val="es-AR" w:eastAsia="es-AR" w:bidi="es-AR"/>
        </w:rPr>
        <w:t xml:space="preserve">Ha de adunarse a ello, que el antecedente de este Tribunal traído en apoyo del reclamo, causa "Aguilar Nancy Marcela c/ Pergamino Automotores s/ Daños y Perjuicios ", no resulta aplicable al caso ello por cuanto primeramente en aquella causa para la procedencia del rubro se tuvo en cuenta un testimonio que aquí no hay y la jurisprudencia citada seguidamente da cuenta de la existencia de presunciones que aquí tampoco se constatan.</w:t>
      </w:r>
    </w:p>
    <w:p>
      <w:pPr>
        <w:pStyle w:val="[Normal]"/>
        <w:spacing w:line="360" w:lineRule="auto"/>
        <w:ind w:firstLine="1134"/>
        <w:jc w:val="both"/>
        <w:rPr>
          <w:lang w:val="es-AR" w:eastAsia="es-AR" w:bidi="es-AR"/>
        </w:rPr>
      </w:pPr>
      <w:r>
        <w:rPr>
          <w:lang w:val="es-AR" w:eastAsia="es-AR" w:bidi="es-AR"/>
        </w:rPr>
        <w:t xml:space="preserve">Considero sí acertada, la queja en relación a los beneficios que el plan contratado preveía respecto de quienes pagaran en término las 72 cuotas de las 84 pactadas (Plan 12 - 6 - 12) y también es cierto que la cuestión, no obstante sometida al Sr. juez a-quo ha sido omitida en sentencia y con ello emerge la potestad de este Tribunal de suplirla (art. 273 CPCC).</w:t>
      </w:r>
    </w:p>
    <w:p>
      <w:pPr>
        <w:pStyle w:val="[Normal]"/>
        <w:spacing w:line="360" w:lineRule="auto"/>
        <w:ind w:firstLine="1134"/>
        <w:jc w:val="both"/>
        <w:rPr>
          <w:lang w:val="es-AR" w:eastAsia="es-AR" w:bidi="es-AR"/>
        </w:rPr>
      </w:pPr>
      <w:r>
        <w:rPr>
          <w:lang w:val="es-AR" w:eastAsia="es-AR" w:bidi="es-AR"/>
        </w:rPr>
        <w:t xml:space="preserve">En efecto, el actor en demanda entre los pronunciamientos solicitados al Juez a-quo, incluye la determinación del alcance del plan 12 - 6- 12 y pide el cumplimiento de ello y que se le bonifiquen las últimas doce (12 cuotas) y seis (6) meses de seguro. Ello formó parte de la pretensión aún cuando no se la incluyó en la liquidación.</w:t>
      </w:r>
    </w:p>
    <w:p>
      <w:pPr>
        <w:pStyle w:val="[Normal]"/>
        <w:spacing w:line="360" w:lineRule="auto"/>
        <w:ind w:firstLine="1134"/>
        <w:jc w:val="both"/>
        <w:rPr>
          <w:lang w:val="es-AR" w:eastAsia="es-AR" w:bidi="es-AR"/>
        </w:rPr>
      </w:pPr>
      <w:r>
        <w:rPr>
          <w:lang w:val="es-AR" w:eastAsia="es-AR" w:bidi="es-AR"/>
        </w:rPr>
        <w:t xml:space="preserve">Volkswagen SA. de Ahorro para Fines Determinados en su oportunidad se defiende expresando que  para ser merecedor del beneficio hay que reunir ciertos requisitos que no han sido cumplidos por el accionante y dice que ello surgirá de la prueba a realizarse. La firma Montanari Automotores SA.,  se limita a negar las características del plan.</w:t>
      </w:r>
    </w:p>
    <w:p>
      <w:pPr>
        <w:pStyle w:val="[Normal]"/>
        <w:spacing w:line="360" w:lineRule="auto"/>
        <w:ind w:firstLine="1134"/>
        <w:jc w:val="both"/>
        <w:rPr>
          <w:lang w:val="es-AR" w:eastAsia="es-AR" w:bidi="es-AR"/>
        </w:rPr>
      </w:pPr>
      <w:r>
        <w:rPr>
          <w:lang w:val="es-AR" w:eastAsia="es-AR" w:bidi="es-AR"/>
        </w:rPr>
        <w:t xml:space="preserve">El plan de ahorro establecía que quienes se encontraran en cumplimiento del pago en término de 72 cuotas:  a) entrega asegurada en la cuota 12, b) seis (6) meses de seguro bonificado y c) bonificación de las últimas 12 cuotas del plan. Ello surge de la documentación de fs. 12 y se detallaba como característica principal del plan que importaba mejorar con bonificaciones al ahorrista cumplidor. </w:t>
      </w:r>
    </w:p>
    <w:p>
      <w:pPr>
        <w:pStyle w:val="[Normal]"/>
        <w:spacing w:line="360" w:lineRule="auto"/>
        <w:ind w:firstLine="1134"/>
        <w:jc w:val="both"/>
        <w:rPr>
          <w:lang w:val="es-AR" w:eastAsia="es-AR" w:bidi="es-AR"/>
        </w:rPr>
      </w:pPr>
      <w:r>
        <w:rPr>
          <w:lang w:val="es-AR" w:eastAsia="es-AR" w:bidi="es-AR"/>
        </w:rPr>
        <w:t xml:space="preserve">Y la prueba de la que iba a valerse la codemandada Volkswagen SA. de Ahorro para Fines Determinados para acreditar que el actor no habría cumplido con los requisitos para ser merecedor de tales bondades no ha sido rendida a la causa. Es sabido que cada una de las partes deberá probar el presupuesto de hecho de la norma o normas que invocare como fundamento de su pretensión, defensa o excepción ( art. 375 CPC.) y que quien no prueba lo que le corresponde, pierde el juicio. </w:t>
      </w:r>
    </w:p>
    <w:p>
      <w:pPr>
        <w:pStyle w:val="[Normal]"/>
        <w:spacing w:line="360" w:lineRule="auto"/>
        <w:ind w:firstLine="1134"/>
        <w:jc w:val="both"/>
        <w:rPr>
          <w:lang w:val="es-AR" w:eastAsia="es-AR" w:bidi="es-AR"/>
        </w:rPr>
      </w:pPr>
      <w:r>
        <w:rPr>
          <w:lang w:val="es-AR" w:eastAsia="es-AR" w:bidi="es-AR"/>
        </w:rPr>
        <w:t xml:space="preserve">Entonces así la parte demandada se obligó contractualmente a bonificar las últimas 12 cuotas del plan de ahorro más seis meses de seguro y habiendo el actor cumplido con el pago en término de las 72 cuotas conforme lo acordado, corresponde que se le restituyan las sumas pertinentes.</w:t>
      </w:r>
    </w:p>
    <w:p>
      <w:pPr>
        <w:pStyle w:val="[Normal]"/>
        <w:spacing w:line="360" w:lineRule="auto"/>
        <w:ind w:firstLine="1134"/>
        <w:jc w:val="both"/>
        <w:rPr>
          <w:lang w:val="es-AR" w:eastAsia="es-AR" w:bidi="es-AR"/>
        </w:rPr>
      </w:pPr>
      <w:r>
        <w:rPr>
          <w:lang w:val="es-AR" w:eastAsia="es-AR" w:bidi="es-AR"/>
        </w:rPr>
        <w:t xml:space="preserve"> A tal fin, de conformidad a lo normado por el art. 165 del CPC., en la instancia de origen se liquidará el monto de la 12 cuotas y seis meses de seguro, suma a la que se han de aditarse los intereses desde la fecha de la mora,  ambos puntos determinados en la sentencia.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M.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la parte actora, con costas a las apeladas perdidosas (arts. 68/9 CPCC) y, de los reclamos que constituyeron agravios en Alzada, se reciben solamente los referidos a la diferencia del accesorio  techo corredizo eléctrico, en la suma de $ 9.769 y al monto que por bonificación de las últimas doce cuotas y seis meses de seguro corresponde por cumplimiento en término de 72 cuotas, el que se liquidará en la instancia de origen, conforme los lineamientos determinados, modificándose en consecuencia la sentencia recurrida en cuanto los desestimara.</w:t>
      </w:r>
    </w:p>
    <w:p>
      <w:pPr>
        <w:pStyle w:val="[Normal]"/>
        <w:spacing w:line="360" w:lineRule="auto"/>
        <w:ind w:firstLine="1134"/>
        <w:jc w:val="both"/>
        <w:rPr>
          <w:lang w:val="es-AR" w:eastAsia="es-AR" w:bidi="es-AR"/>
        </w:rPr>
      </w:pPr>
      <w:r>
        <w:rPr>
          <w:lang w:val="es-AR" w:eastAsia="es-AR" w:bidi="es-AR"/>
        </w:rPr>
        <w:t xml:space="preserve">Rechazar el recurso de apelación de la codemandada apelante, con costas a la vencida (arts.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para el momento procesal oportuno (arts. 31 y 51 de la Ley de Honorarios Profesionales).</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M.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la parte actora, con costas a las apeladas perdidosas (arts. 68/9 CPCC) y, de los reclamos que constituyeron agravios en Alzada, se reciben solamente los referidos a la diferencia del accesorio techo corredizo eléctrico, en la suma de $ 9.769 y al monto que por bonificación de las últimas doce cuotas y seis meses de seguro corresponde por cumplimiento en término de 72 cuotas, el que se liquidará en la instancia de origen, conforme los lineamientos determinados, modificándose en consecuencia la sentencia recurrida en cuanto los desestimara.</w:t>
      </w:r>
    </w:p>
    <w:p>
      <w:pPr>
        <w:pStyle w:val="[Normal]"/>
        <w:spacing w:line="360" w:lineRule="auto"/>
        <w:ind w:firstLine="1134"/>
        <w:jc w:val="both"/>
        <w:rPr>
          <w:lang w:val="es-AR" w:eastAsia="es-AR" w:bidi="es-AR"/>
        </w:rPr>
      </w:pPr>
      <w:r>
        <w:rPr>
          <w:lang w:val="es-AR" w:eastAsia="es-AR" w:bidi="es-AR"/>
        </w:rPr>
        <w:t xml:space="preserve">Rechazar el recurso de apelación de la codemandada apelante, con costas a la vencida (arts.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para el momento procesal oportuno (arts. 31 y 51 de la Ley de Honorarios Profesionales).</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05/11/2020 09:22:13 -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05/11/2020 09:42:36 -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05/11/2020 10:38:31 -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‰7Z")è$Â}èuŠ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235802090004979300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‰7Z")è$Â}èuŠ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235802090004979300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