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173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1111/1120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19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3978-20</w:t>
      </w:r>
      <w:r>
        <w:rPr>
          <w:lang w:val="es-AR" w:eastAsia="es-AR" w:bidi="es-AR"/>
        </w:rPr>
        <w:t xml:space="preserve"> caratulada </w:t>
      </w:r>
      <w:r>
        <w:rPr>
          <w:b/>
          <w:lang w:val="es-AR" w:eastAsia="es-AR" w:bidi="es-AR"/>
        </w:rPr>
        <w:t xml:space="preserve">"</w:t>
      </w:r>
      <w:r>
        <w:rPr>
          <w:b/>
          <w:color w:val="000000"/>
          <w:lang w:val="es-AR" w:eastAsia="es-AR" w:bidi="es-AR"/>
        </w:rPr>
        <w:t xml:space="preserve">CREDINEGOCIOS MOSCASIL S.A.  C/ PONCE MARIA ISABEL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85.178</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w:t>
      </w:r>
      <w:r>
        <w:rPr>
          <w:color w:val="000000"/>
          <w:lang w:val="es-AR" w:eastAsia="es-AR" w:bidi="es-AR"/>
        </w:rPr>
        <w:t xml:space="preserve">Graciela Scaraffia, Bernardo Louise y Roberto Degleue,</w:t>
      </w:r>
      <w:r>
        <w:rPr>
          <w:lang w:val="es-AR" w:eastAsia="es-AR" w:bidi="es-AR"/>
        </w:rPr>
        <w:t xml:space="preserv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w:t>
      </w:r>
      <w:r>
        <w:rPr>
          <w:color w:val="000000"/>
          <w:lang w:val="es-AR" w:eastAsia="es-AR" w:bidi="es-AR"/>
        </w:rPr>
        <w:t xml:space="preserve">Graciela Scaraffia</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La Sra. Jueza de la anterior instancia luego de analizar el título base de la acción, </w:t>
      </w:r>
      <w:r>
        <w:rPr>
          <w:color w:val="000000"/>
          <w:lang w:val="es-AR" w:eastAsia="es-AR" w:bidi="es-AR"/>
        </w:rPr>
        <w:t xml:space="preserve">rechazó </w:t>
      </w:r>
      <w:r>
        <w:rPr>
          <w:lang w:val="es-AR" w:eastAsia="es-AR" w:bidi="es-AR"/>
        </w:rPr>
        <w:t xml:space="preserve">la ejecución del mismo por considerar que si bien podría ser ejecutable, violenta el derecho protectorio del consumidor, por cuanto no existe equivalencia entre el contenido del pagaré y las condiciones del crédito, concluyendo que el mismo ha sido librado en fraude a la LDC y contrariando la buena fe que debe imperar en las relaciones negociales, no pudiendo convalidarse tal practica abusiva y desproporcionada (art. 771 del CCCN).</w:t>
      </w:r>
    </w:p>
    <w:p>
      <w:pPr>
        <w:pStyle w:val="[Normal]"/>
        <w:spacing w:line="360" w:lineRule="auto"/>
        <w:ind w:firstLine="1134"/>
        <w:jc w:val="both"/>
        <w:rPr>
          <w:lang w:val="es-AR" w:eastAsia="es-AR" w:bidi="es-AR"/>
        </w:rPr>
      </w:pPr>
      <w:r>
        <w:rPr>
          <w:lang w:val="es-AR" w:eastAsia="es-AR" w:bidi="es-AR"/>
        </w:rPr>
        <w:t xml:space="preserve">Así, al resolver expresó que </w:t>
      </w:r>
      <w:r>
        <w:rPr>
          <w:color w:val="000000"/>
          <w:lang w:val="es-AR" w:eastAsia="es-AR" w:bidi="es-AR"/>
        </w:rPr>
        <w:t xml:space="preserve">como el ejecutante denunció que el demandado realizó pagos a cuenta del pagaré, ordenó </w:t>
      </w:r>
      <w:r>
        <w:rPr>
          <w:lang w:val="es-AR" w:eastAsia="es-AR" w:bidi="es-AR"/>
        </w:rPr>
        <w:t xml:space="preserve">denunciar cuántas cuotas abonó concretamente el demandado; cuál fue la última cuota paga, y la fecha de mora, para de esta manera proceda a preparar la vía ejecutiva con relación al mutuo y el saldo impago del mismo. </w:t>
      </w:r>
    </w:p>
    <w:p>
      <w:pPr>
        <w:pStyle w:val="[Normal]"/>
        <w:spacing w:line="360" w:lineRule="auto"/>
        <w:ind w:firstLine="1134"/>
        <w:jc w:val="both"/>
        <w:rPr>
          <w:lang w:val="es-AR" w:eastAsia="es-AR" w:bidi="es-AR"/>
        </w:rPr>
      </w:pPr>
      <w:r>
        <w:rPr>
          <w:lang w:val="es-AR" w:eastAsia="es-AR" w:bidi="es-AR"/>
        </w:rPr>
        <w:t xml:space="preserve">Contra dicho auto, se alza la ejecutante por medio de la presentación electrónica de fecha 14/7/2020 en la que formula aclaración, interpone revocatoria y en subsidio recurso de apelación. El juzgador en fecha 15 de Julio de 2020, rechazó la primera -ampliando sus fundamentos- y concede la segunda en relación y con efecto suspensivo, llamándose a autos para resolver en fecha 1/9/ 2020, providencia que firme a la fecha deja a la causa en condiciones de ser fallada (arts. 263/267 del CPC., cc. arts. 168 y 171 de la Constitución de la Provincia de Buenos Aires).</w:t>
      </w:r>
    </w:p>
    <w:p>
      <w:pPr>
        <w:pStyle w:val="[Normal]"/>
        <w:spacing w:line="360" w:lineRule="auto"/>
        <w:ind w:firstLine="1134"/>
        <w:jc w:val="both"/>
        <w:rPr>
          <w:lang w:val="es-AR" w:eastAsia="es-AR" w:bidi="es-AR"/>
        </w:rPr>
      </w:pPr>
      <w:r>
        <w:rPr>
          <w:lang w:val="es-AR" w:eastAsia="es-AR" w:bidi="es-AR"/>
        </w:rPr>
        <w:t xml:space="preserve">El apelante al formular sus agravios, aclara que su reclamo se centra en la documental exclusiva y excluyente que es el pagaré, mencionando que el contrato de mutuo se adjuntó solo con la finalidad de probar la relación crediticia subyacente y el cumplimiento del régimen de información establecido en el art. 36.  Existiendo a su criterio entre ambos instrumentos una equivalencia perfecta. El monto total del contrato de mutuo representa el monto total del pagaré suscripto.</w:t>
      </w:r>
    </w:p>
    <w:p>
      <w:pPr>
        <w:pStyle w:val="[Normal]"/>
        <w:spacing w:line="360" w:lineRule="auto"/>
        <w:ind w:firstLine="1134"/>
        <w:jc w:val="both"/>
        <w:rPr>
          <w:lang w:val="es-AR" w:eastAsia="es-AR" w:bidi="es-AR"/>
        </w:rPr>
      </w:pPr>
      <w:r>
        <w:rPr>
          <w:lang w:val="es-AR" w:eastAsia="es-AR" w:bidi="es-AR"/>
        </w:rPr>
        <w:t xml:space="preserve">Sostiene en su memorial, teniendo en cuenta los precedentes jurisprudenciales de este Departamento, que la ejecución del pagaré de consumo debe limitarse al capital dado en mutuo, es por ello que la presente acción ha sido promovida por la suma de $10.000, y no en base al monto total pactado por el pago de todas las cuotas en el plazo convenido, que surge del pagaré. </w:t>
      </w:r>
    </w:p>
    <w:p>
      <w:pPr>
        <w:pStyle w:val="[Normal]"/>
        <w:spacing w:line="360" w:lineRule="auto"/>
        <w:ind w:firstLine="1134"/>
        <w:jc w:val="both"/>
        <w:rPr>
          <w:lang w:val="es-AR" w:eastAsia="es-AR" w:bidi="es-AR"/>
        </w:rPr>
      </w:pPr>
      <w:r>
        <w:rPr>
          <w:lang w:val="es-AR" w:eastAsia="es-AR" w:bidi="es-AR"/>
        </w:rPr>
        <w:t xml:space="preserve">Refiere asimismo, que del escrito de inicio surge con claridad que la ejecutada no abonó ninguna de las cuotas pactadas, por lo que cuestiona la intimación cursada por el a quo. Aclara que la fecha de mora denunciada es la que se verifica transcurrido los 10 días de operado el vencimiento de la primer cuota pactada e impaga, el día 18/3/2019. </w:t>
      </w:r>
    </w:p>
    <w:p>
      <w:pPr>
        <w:pStyle w:val="[Normal]"/>
        <w:spacing w:line="360" w:lineRule="auto"/>
        <w:ind w:firstLine="1134"/>
        <w:jc w:val="both"/>
        <w:rPr>
          <w:lang w:val="es-AR" w:eastAsia="es-AR" w:bidi="es-AR"/>
        </w:rPr>
      </w:pPr>
      <w:r>
        <w:rPr>
          <w:lang w:val="es-AR" w:eastAsia="es-AR" w:bidi="es-AR"/>
        </w:rPr>
        <w:t xml:space="preserve">Finalmente, pide se despache la ejecución en los términos planteados en la demanda.</w:t>
      </w:r>
    </w:p>
    <w:p>
      <w:pPr>
        <w:pStyle w:val="[Normal]"/>
        <w:spacing w:line="360" w:lineRule="auto"/>
        <w:ind w:firstLine="1134"/>
        <w:jc w:val="both"/>
        <w:rPr>
          <w:lang w:val="es-AR" w:eastAsia="es-AR" w:bidi="es-AR"/>
        </w:rPr>
      </w:pPr>
      <w:r>
        <w:rPr>
          <w:lang w:val="es-AR" w:eastAsia="es-AR" w:bidi="es-AR"/>
        </w:rPr>
        <w:t xml:space="preserve">Al rechazar la revocatoria, la jueza de grado sostuvo que analizando los instrumentos acompañados con el escrito de inicio existen varias contradicciones las cuales señaló en la resolución y concluyó en que la ejecutante en reiteradas oportunidades refiere al contrato de mutuo y no al pagaré que pretende ejecutar, considerando en definitiva que la resolución debe ser confirmada, y ha de prepararse la vía con relación al contrato de mutuo, que resultaría ser el instrumento que se pretende ejecutar.</w:t>
      </w:r>
    </w:p>
    <w:p>
      <w:pPr>
        <w:pStyle w:val="[Normal]"/>
        <w:spacing w:line="360" w:lineRule="auto"/>
        <w:ind w:firstLine="1134"/>
        <w:jc w:val="both"/>
        <w:rPr>
          <w:lang w:val="es-AR" w:eastAsia="es-AR" w:bidi="es-AR"/>
        </w:rPr>
      </w:pPr>
      <w:r>
        <w:rPr>
          <w:lang w:val="es-AR" w:eastAsia="es-AR" w:bidi="es-AR"/>
        </w:rPr>
        <w:t xml:space="preserve">Por último, rechazó el planteo de prejuzgamiento formulado por el ejecutante amparándose en las facultades que posee el magistrado de analizar de oficio la habilidad del título hasta el dictado de la sentencia (art. 529 y 549 del CPCC).</w:t>
      </w:r>
    </w:p>
    <w:p>
      <w:pPr>
        <w:pStyle w:val="[Normal]"/>
        <w:spacing w:line="360" w:lineRule="auto"/>
        <w:ind w:firstLine="1134"/>
        <w:jc w:val="both"/>
        <w:rPr>
          <w:lang w:val="es-AR" w:eastAsia="es-AR" w:bidi="es-AR"/>
        </w:rPr>
      </w:pPr>
      <w:r>
        <w:rPr>
          <w:lang w:val="es-AR" w:eastAsia="es-AR" w:bidi="es-AR"/>
        </w:rPr>
        <w:t xml:space="preserve">Liminarmente, cabe señalar una vez mas que el caso traído a examen pone nuevamente en evidencia la controversia legal y su consecuente interpretación jurisprudencial y doctrinaria, en el supuesto de ejercicio de una pretensión ejecutiva fundada en un título de crédito -pagaré-, derivado de un negocio jurídico para el consumo.</w:t>
      </w:r>
    </w:p>
    <w:p>
      <w:pPr>
        <w:pStyle w:val="[Normal]"/>
        <w:spacing w:line="360" w:lineRule="auto"/>
        <w:ind w:firstLine="1134"/>
        <w:jc w:val="both"/>
        <w:rPr>
          <w:lang w:val="es-AR" w:eastAsia="es-AR" w:bidi="es-AR"/>
        </w:rPr>
      </w:pPr>
      <w:r>
        <w:rPr>
          <w:lang w:val="es-AR" w:eastAsia="es-AR" w:bidi="es-AR"/>
        </w:rPr>
        <w:t xml:space="preserve">En un intento de poner claridad a la cuestión traída a resolver, he de circunscribir los agravios en tres cuestiones: a) determinar cual es el título base de la ejecución, b) cual es el monto por el cual se reclama, c) si existió prejuzgamiento por parte del juez de grado y d) si corresponde preparar la vía ejecutiva respecto al contrato de mutuo.</w:t>
      </w:r>
    </w:p>
    <w:p>
      <w:pPr>
        <w:pStyle w:val="[Normal]"/>
        <w:spacing w:line="360" w:lineRule="auto"/>
        <w:ind w:firstLine="1134"/>
        <w:jc w:val="both"/>
        <w:rPr>
          <w:lang w:val="es-AR" w:eastAsia="es-AR" w:bidi="es-AR"/>
        </w:rPr>
      </w:pPr>
      <w:r>
        <w:rPr>
          <w:lang w:val="es-AR" w:eastAsia="es-AR" w:bidi="es-AR"/>
        </w:rPr>
        <w:t xml:space="preserve">I) En miras de unificar argumentos y dar una uniforme resolución al tema, he de tratar la primer cuestión y la última enunciada, en forma conjunta.</w:t>
      </w:r>
    </w:p>
    <w:p>
      <w:pPr>
        <w:pStyle w:val="[Normal]"/>
        <w:spacing w:line="360" w:lineRule="auto"/>
        <w:ind w:firstLine="1134"/>
        <w:jc w:val="both"/>
        <w:rPr>
          <w:lang w:val="es-AR" w:eastAsia="es-AR" w:bidi="es-AR"/>
        </w:rPr>
      </w:pPr>
      <w:r>
        <w:rPr>
          <w:lang w:val="es-AR" w:eastAsia="es-AR" w:bidi="es-AR"/>
        </w:rPr>
        <w:t xml:space="preserve">Del escrito de inicio y de la memoria, surge que lo que pretende ejecutar el actor es el pagaré presentado en PDF. Observando dicho instrumento surge que </w:t>
      </w:r>
      <w:r>
        <w:rPr>
          <w:i/>
          <w:lang w:val="es-AR" w:eastAsia="es-AR" w:bidi="es-AR"/>
        </w:rPr>
        <w:t xml:space="preserve">"fue librado el 14/02/2019. Pagaré a la vista, por el monto de $20.300, por valores recibidos en efectivo y a mi satisfacción, sin protesto y sin gastos (arat. 50 D-Ley 5965/63)"</w:t>
      </w:r>
      <w:r>
        <w:rPr>
          <w:lang w:val="es-AR" w:eastAsia="es-AR" w:bidi="es-AR"/>
        </w:rPr>
        <w:t xml:space="preserve">. Al final del mismo sigue que en "</w:t>
      </w:r>
      <w:r>
        <w:rPr>
          <w:i/>
          <w:lang w:val="es-AR" w:eastAsia="es-AR" w:bidi="es-AR"/>
        </w:rPr>
        <w:t xml:space="preserve">lo relativo al cumplimiento del art. 36 de la Ley 24.240, expresamente se remite a los términos y condiciones del contrato de mutuo N° 1229, respecto del cual este documento resulta anexo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Este último ha sido presentado en PDF, y del que surge </w:t>
      </w:r>
      <w:r>
        <w:rPr>
          <w:i/>
          <w:lang w:val="es-AR" w:eastAsia="es-AR" w:bidi="es-AR"/>
        </w:rPr>
        <w:t xml:space="preserve">"Contrato de préstamo Personal N° 1229, por la suma de crédito es de $ 10.000, tasa de interes 13,03% mensual, plazo de la operatoria es de 12 meses"</w:t>
      </w:r>
      <w:r>
        <w:rPr>
          <w:lang w:val="es-AR" w:eastAsia="es-AR" w:bidi="es-AR"/>
        </w:rPr>
        <w:t xml:space="preserve">. En su apartado 1 surge que "</w:t>
      </w:r>
      <w:r>
        <w:rPr>
          <w:i/>
          <w:lang w:val="es-AR" w:eastAsia="es-AR" w:bidi="es-AR"/>
        </w:rPr>
        <w:t xml:space="preserve">el mutuante da en préstamo a la mutuaria, a solicitud de esta, un préstamo por la suma de diez mil pesos, sirviendo la presente de formal recibo del monto. El capital del préstamo será restituido por la deudora al acreedor en doce cuotas mensuales y consecutivas de $1.692,15 cada una, pagadera el día 8/03/19 y las restantes 11 cuotas, en igual día de los meses subsiguientes, venciendo la última cuota pactada en fecha 8/02/2020</w:t>
      </w:r>
      <w:r>
        <w:rPr>
          <w:lang w:val="es-AR" w:eastAsia="es-AR" w:bidi="es-AR"/>
        </w:rPr>
        <w:t xml:space="preserve">." Analizados ambos instrumentos, surge que fueron librados el mismo día, el 14/02/2020 y se relacionan, pues uno es anexo al otro. Ambos instrumentos evidencian un negocio subyacente en el marco de una relación de consumo, circunstancia que no resulta desconocida por el ejecutante ni controvertida hasta esta instancia.</w:t>
      </w:r>
    </w:p>
    <w:p>
      <w:pPr>
        <w:pStyle w:val="[Normal]"/>
        <w:spacing w:line="360" w:lineRule="auto"/>
        <w:ind w:firstLine="1134"/>
        <w:jc w:val="both"/>
        <w:rPr>
          <w:lang w:val="es-AR" w:eastAsia="es-AR" w:bidi="es-AR"/>
        </w:rPr>
      </w:pPr>
      <w:r>
        <w:rPr>
          <w:lang w:val="es-AR" w:eastAsia="es-AR" w:bidi="es-AR"/>
        </w:rPr>
        <w:t xml:space="preserve">Este Tribunal se ha expedido en varias oportunidades,  analizando y reconociendo la ejecutabilidad del pagaré de consumo, siempre que se cumpla con la normativa consumeril y el deber de información, con los instrumentos anexos al pagaré, autorizando incluso la integración del mismo.</w:t>
      </w:r>
    </w:p>
    <w:p>
      <w:pPr>
        <w:pStyle w:val="[Normal]"/>
        <w:spacing w:line="360" w:lineRule="auto"/>
        <w:ind w:firstLine="1134"/>
        <w:jc w:val="both"/>
        <w:rPr>
          <w:lang w:val="es-AR" w:eastAsia="es-AR" w:bidi="es-AR"/>
        </w:rPr>
      </w:pPr>
      <w:r>
        <w:rPr>
          <w:i/>
          <w:lang w:val="es-AR" w:eastAsia="es-AR" w:bidi="es-AR"/>
        </w:rPr>
        <w:t xml:space="preserve">"</w:t>
      </w:r>
      <w:r>
        <w:rPr>
          <w:i/>
          <w:color w:val="000000"/>
          <w:lang w:val="es-AR" w:eastAsia="es-AR" w:bidi="es-AR"/>
        </w:rPr>
        <w:t xml:space="preserve">En suma, el pagaré de consumo no está vedado por la legislación, sigue existiendo como título cambiario y mantiene su vigencia como título ejecutivo, pero al análisis de su ejecutabilidad se aduna, acreditada la relación de consumo -lo que supone el examen del negocio subyacente-, la indagación respecto del cumplimiento de los requisitos previstos por la LDC, siendo carga de las partes dentro de la limitación temporal que conjugue los principios de bilateralidad e igualdad procesal, la prueba respectiva en la medida de su interés.- De tal modo se armonizan e integran de forma coherente las fuentes normativas de fondo en conflicto, así como los principios procesales aludidos. (dec. ley 5965/63, ley 24.240; arts. 34 inc. 5 "c", 36 inc. 2, 521 y ccs. del CPCC).-</w:t>
      </w:r>
      <w:r>
        <w:rPr>
          <w:color w:val="000000"/>
          <w:lang w:val="es-AR" w:eastAsia="es-AR" w:bidi="es-AR"/>
        </w:rPr>
        <w:t xml:space="preserve"> "</w:t>
      </w:r>
      <w:r>
        <w:rPr>
          <w:lang w:val="es-AR" w:eastAsia="es-AR" w:bidi="es-AR"/>
        </w:rPr>
        <w:t xml:space="preserve"> (CAP. Causa 3681/19, Reg. 151/19).</w:t>
      </w:r>
    </w:p>
    <w:p>
      <w:pPr>
        <w:pStyle w:val="[Normal]"/>
        <w:spacing w:line="360" w:lineRule="auto"/>
        <w:ind w:firstLine="1134"/>
        <w:jc w:val="both"/>
        <w:rPr>
          <w:lang w:val="es-AR" w:eastAsia="es-AR" w:bidi="es-AR"/>
        </w:rPr>
      </w:pPr>
      <w:r>
        <w:rPr>
          <w:lang w:val="es-AR" w:eastAsia="es-AR" w:bidi="es-AR"/>
        </w:rPr>
        <w:t xml:space="preserve">La ejecutante en su libelo de inicio y luego en su memoria, aclara que el objeto de la presente es la ejecución del pagaré, y el contrato de mutuo sólo ha sido presentado a los fines de cumplir con la normativa consumeril que ya la jurisprudencia ha admitido, esto es a fin de acreditar el negocio subyacente y de integrar el título que se pretende ejecutar.</w:t>
      </w:r>
    </w:p>
    <w:p>
      <w:pPr>
        <w:pStyle w:val="[Normal]"/>
        <w:spacing w:line="360" w:lineRule="auto"/>
        <w:ind w:firstLine="1134"/>
        <w:jc w:val="both"/>
        <w:rPr>
          <w:lang w:val="es-AR" w:eastAsia="es-AR" w:bidi="es-AR"/>
        </w:rPr>
      </w:pPr>
      <w:r>
        <w:rPr>
          <w:lang w:val="es-AR" w:eastAsia="es-AR" w:bidi="es-AR"/>
        </w:rPr>
        <w:t xml:space="preserve">Esta Alzada ya ha admitido esta posibilidad y ha abordado el tema en la causa CAP  3729,   donde se sostuvo que: "</w:t>
      </w:r>
      <w:r>
        <w:rPr>
          <w:i/>
          <w:lang w:val="es-AR" w:eastAsia="es-AR" w:bidi="es-AR"/>
        </w:rPr>
        <w:t xml:space="preserve">En el plano adjetivo la solución aplicada encuentra apoyatura normativa en el juego armónico de los arts. 34 inc. 5e y 36 inc. 6 del CPCCBA. El primero impone al magistrado el deber de procurar la mayor economía procesal en la dirección del procedimiento y, toda vez que la agregación de la documentación aludida en la etapa larval del proceso asegura un conocimiento temprano de la pretensión procesal definitiva evitando la articulación de defensas innecesarias, la intimación previa se erige como un medio conducente para el cumplimiento de tal postulado. El segundo artículo habilita al magistrado a ordenar la agregación de documentos existentes en poder de las partes, por lo que ante la eventualidad de que existan constancias que acrediten el cumplimiento de los requisitos informativos previstos en el art. 36 de la ley 24.240, no resultaría excesivo que el juez mande a integrar el título con la mentada documentación. En definitiva, la decisión del a quo se compadece mejor con el principio de prevención procesal en el sentido de que asegura que el proceso judicial transite desde su inicio hasta su conclusión sobre la base de un título ejecutivo integrado, allende los cuestionamientos que luego éste pueda merecer en cuanto a su procedencia sustancial." (Reg. 162/2019, de fecha 27/12/19).</w:t>
      </w:r>
    </w:p>
    <w:p>
      <w:pPr>
        <w:pStyle w:val="[Normal]"/>
        <w:spacing w:line="360" w:lineRule="auto"/>
        <w:ind w:firstLine="1134"/>
        <w:jc w:val="both"/>
        <w:rPr>
          <w:lang w:val="es-AR" w:eastAsia="es-AR" w:bidi="es-AR"/>
        </w:rPr>
      </w:pPr>
      <w:r>
        <w:rPr>
          <w:lang w:val="es-AR" w:eastAsia="es-AR" w:bidi="es-AR"/>
        </w:rPr>
        <w:t xml:space="preserve">Es que, comprobada una relación de consumo en que se da el libramiento de un instrumento abstracto de crédito, en su ejecución habrán de compatibilizarse la regla que veda el análisis y discusión causal, con el sistema de protección al consumidor previsto en la Ley 24.240. Es decir, que el análisis del negocio en cuyo marco se librare, ha de ser necesario para verificar el cumplimiento del art. 36 de LDC y para ello no resulta suficiente el pagaré, sino que debe analizarse conjuntamente con el Contrato de mutuo que lo complementa, sin dejar de lado que lo que se está ejecutando es el instrumento primogénito enunciado.</w:t>
      </w:r>
    </w:p>
    <w:p>
      <w:pPr>
        <w:pStyle w:val="[Normal]"/>
        <w:spacing w:line="360" w:lineRule="auto"/>
        <w:ind w:firstLine="1134"/>
        <w:jc w:val="both"/>
        <w:rPr>
          <w:i/>
          <w:lang w:val="es-AR" w:eastAsia="es-AR" w:bidi="es-AR"/>
        </w:rPr>
      </w:pPr>
      <w:r>
        <w:rPr>
          <w:lang w:val="es-AR" w:eastAsia="es-AR" w:bidi="es-AR"/>
        </w:rPr>
        <w:t xml:space="preserve">La Cámara de Apelaciones de Azul, en acuerdo plenario de fecha 9/3/17 autos “HSBC Bank Argentina c/Pardo Cristian D. s/Cobro Ejecutivo“-, expresó por mayoría que </w:t>
      </w:r>
      <w:r>
        <w:rPr>
          <w:i/>
          <w:lang w:val="es-AR" w:eastAsia="es-AR" w:bidi="es-AR"/>
        </w:rPr>
        <w:t xml:space="preserve">“El pagaré de consumo puede integrarse con documentación adicional relativa al negocio causal, dentro del mismo juicio ejecutivo, conformando un título complejo que deberá contener información clara y veraz y además cumplir con los requisitos previstos en el art. 36 de la LDC para las operaciones de financiación o crédito para el consumo...En lo que respecta a su oportunidad procesal, la integración de la cartular debe realizarse respetando el derecho de defensa del consumidor, la bilateralidad del proceso y el principio de congruencia (arts. 15 de la Const. provincial; 34 inc. 5, 163 inc. 6, 529, 542 ss. y cdtes. del Código Procesal)." </w:t>
      </w:r>
      <w:r>
        <w:rPr>
          <w:lang w:val="es-AR" w:eastAsia="es-AR" w:bidi="es-AR"/>
        </w:rPr>
        <w:t xml:space="preserve">y de la Cámara Segunda de Apelación de la Plata, Sala 1, causa N°120271 RSD 221/16: </w:t>
      </w:r>
      <w:r>
        <w:rPr>
          <w:i/>
          <w:lang w:val="es-AR" w:eastAsia="es-AR" w:bidi="es-AR"/>
        </w:rPr>
        <w:t xml:space="preserve">“El pagaré de consumo debe integrarse con la información requerida por el art. 36 ya que ello hace a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sentencia, lo cual impone permitir que el ejecutante integre el título con la documentación respectiva, ello en virtud de la falta de regulación legislativa expresa y en aras del principio de seguridad jurídica (art. 42 C.N., 38 Const. Prov.; 1.2.36 y 65 LDC; 34 inc. 5, 384, 529 y 549 del CPCC).”</w:t>
      </w:r>
    </w:p>
    <w:p>
      <w:pPr>
        <w:pStyle w:val="[Normal]"/>
        <w:spacing w:line="360" w:lineRule="auto"/>
        <w:ind w:firstLine="1134"/>
        <w:jc w:val="both"/>
        <w:rPr>
          <w:lang w:val="es-AR" w:eastAsia="es-AR" w:bidi="es-AR"/>
        </w:rPr>
      </w:pPr>
      <w:r>
        <w:rPr>
          <w:lang w:val="es-AR" w:eastAsia="es-AR" w:bidi="es-AR"/>
        </w:rPr>
        <w:t xml:space="preserve">Y resulta decisivo en la tarea de arribar a una solución armonizante de las normativas aplicables, que permita la compatibilización de los derechos del consumidor pero asimismo la tutela del crédito, el reciente fallo de la SCBA y al que alude el apelante en su memorial, en el que el Superior Tribunal expresó: "</w:t>
      </w:r>
      <w:r>
        <w:rPr>
          <w:i/>
          <w:lang w:val="es-AR" w:eastAsia="es-AR" w:bidi="es-AR"/>
        </w:rPr>
        <w:t xml:space="preserve">En ese plano de congruencia sistemática es claro que la aplicabilidad de la LDC flexibiliza el andamiaje por el que discurre la pretensión ejecutiva, con respeto de los principios de bilateralidad y defensa en juicio (arts. 18, Const. nac.; 15, Const. prov.; 34 inc. 5 apdo. "c" y 36 inc. 2 y concs., CPCC). Como también lo es que en situaciones como las ventiladas en esta causa la indagación en los aspectos sustanciales (del negocio jurídico extracambiario) se corresponde con el postulado señalado y pone a resguardo los derechos informativos que amparan al consumidor (art. 42, Const. nac.).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autonómamente, satisface las exigencias legales previstas en el estatuto del consumidor, podrá dar curso a la ejecución. Ello claro está, sin desmedro del derecho del ejecutado de articular defensas, incluso centradas en el mencionado art. 36, tendientes a neutralizar la procedencia de la acción."  </w:t>
      </w:r>
      <w:r>
        <w:rPr>
          <w:lang w:val="es-AR" w:eastAsia="es-AR" w:bidi="es-AR"/>
        </w:rPr>
        <w:t xml:space="preserve">(Causa C. 121.684, "Asociación Mutual Asís contra Cubilla, María Ester. Cobro ejecutivo" de fecha 14/08/19). </w:t>
      </w:r>
    </w:p>
    <w:p>
      <w:pPr>
        <w:pStyle w:val="[Normal]"/>
        <w:spacing w:line="360" w:lineRule="auto"/>
        <w:ind w:firstLine="1134"/>
        <w:jc w:val="both"/>
        <w:rPr>
          <w:lang w:val="es-AR" w:eastAsia="es-AR" w:bidi="es-AR"/>
        </w:rPr>
      </w:pPr>
      <w:r>
        <w:rPr>
          <w:lang w:val="es-AR" w:eastAsia="es-AR" w:bidi="es-AR"/>
        </w:rPr>
        <w:t xml:space="preserve">Con relación a la preparación de la vía dispuesta sobre el contrato de mutuo, he de señalar que el art. 36 de la ley de defensa al consumidor impone la exigencia de que en las respectivas operaciones se consignen expresa y claramente determinados datos que tienen por finalidad posibilitar el control de las cláusulas contractuales en tanto de resultar abusivas, pueden ser declaradas ineficaces (art. 37). El ejecutante, con su escrito de inicio acompañó la documentación complementaria dirigida a satisfacer lo dispuesto en la normativa de consumo y corresponde entonces verificar tal extremo -sin que ello importe la necesidad de requerir reconocimiento de firma de la ejecutada en la documental accesoria traída-, para, en su caso, dar curso a la ejecución librando el correspondiente mandamiento de intimación de pago y citación de venta.</w:t>
      </w:r>
    </w:p>
    <w:p>
      <w:pPr>
        <w:pStyle w:val="[Normal]"/>
        <w:spacing w:line="360" w:lineRule="auto"/>
        <w:ind w:firstLine="1134"/>
        <w:jc w:val="both"/>
        <w:rPr>
          <w:i/>
          <w:lang w:val="es-AR" w:eastAsia="es-AR" w:bidi="es-AR"/>
        </w:rPr>
      </w:pPr>
      <w:r>
        <w:rPr>
          <w:lang w:val="es-AR" w:eastAsia="es-AR" w:bidi="es-AR"/>
        </w:rPr>
        <w:t xml:space="preserve">Con dicho criterio ha decidido la Sala Primera de la Cámara Segunda de La Plata, causa 123337 RSD 74/2018,</w:t>
      </w:r>
      <w:r>
        <w:rPr>
          <w:i/>
          <w:lang w:val="es-AR" w:eastAsia="es-AR" w:bidi="es-AR"/>
        </w:rPr>
        <w:t xml:space="preserve"> </w:t>
      </w:r>
      <w:r>
        <w:rPr>
          <w:lang w:val="es-AR" w:eastAsia="es-AR" w:bidi="es-AR"/>
        </w:rPr>
        <w:t xml:space="preserve">voto del Dr. Sosa Aubone,</w:t>
      </w:r>
      <w:r>
        <w:rPr>
          <w:i/>
          <w:lang w:val="es-AR" w:eastAsia="es-AR" w:bidi="es-AR"/>
        </w:rPr>
        <w:t xml:space="preserve"> "...corresponde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lang w:val="es-AR" w:eastAsia="es-AR" w:bidi="es-AR"/>
        </w:rPr>
      </w:pPr>
      <w:r>
        <w:rPr>
          <w:lang w:val="es-AR" w:eastAsia="es-AR" w:bidi="es-AR"/>
        </w:rPr>
        <w:t xml:space="preserve">Conforme hasta lo aquí expresado, sin que resulte un agravio expresamente alegado por el ejecutante y que se desprende de su escrito de memoria, en cuanto pretende que se despache sin mas la ejecución por el monto reclamado en la demanda, se queja el recurrente de la intimación dispuesta en la anterior sede de preparar la vía respecto al mutuo y el saldo impago del mismo.</w:t>
      </w:r>
    </w:p>
    <w:p>
      <w:pPr>
        <w:pStyle w:val="[Normal]"/>
        <w:spacing w:line="360" w:lineRule="auto"/>
        <w:ind w:firstLine="1134"/>
        <w:jc w:val="both"/>
        <w:rPr>
          <w:lang w:val="es-AR" w:eastAsia="es-AR" w:bidi="es-AR"/>
        </w:rPr>
      </w:pPr>
      <w:r>
        <w:rPr>
          <w:lang w:val="es-AR" w:eastAsia="es-AR" w:bidi="es-AR"/>
        </w:rPr>
        <w:t xml:space="preserve">Lo que se ejecuta en autos es el pagaré de consumo acompañado, instrumento que ha sido integrado con la debida documentación respaldatoria. Que tal circunstancia no implica que se requiera la preparación de vía del instrumento anexo acompañado. </w:t>
      </w:r>
    </w:p>
    <w:p>
      <w:pPr>
        <w:pStyle w:val="[Normal]"/>
        <w:spacing w:line="360" w:lineRule="auto"/>
        <w:ind w:firstLine="1134"/>
        <w:jc w:val="both"/>
        <w:rPr>
          <w:lang w:val="es-AR" w:eastAsia="es-AR" w:bidi="es-AR"/>
        </w:rPr>
      </w:pPr>
      <w:r>
        <w:rPr>
          <w:lang w:val="es-AR" w:eastAsia="es-AR" w:bidi="es-AR"/>
        </w:rPr>
        <w:t xml:space="preserve">Es que como ya ha resuelto este Tribunal en causas anteriores -N° 3646 RSD 111/2019 y 3654 RSD 112/2019- y en una reciente cuyo voto me pertenece N° 4012, RSD 151/2020 de fecha 22/10/2020, en miras de armonizar los ordenamientos que rigen la materia cambiaria y consumeril, se ha revocado la decisión del juez de origen que emitió la orden de preparar la vía ejecutiva sobre el contrato de mutuo en el marco dispuesto por el art. 523 inc. 1 del CPCC,, y se dispuso desde esta instancia, previo análisis del título y la documentación adjuntada, se disponga proseguir o no con la ejecución.</w:t>
      </w:r>
    </w:p>
    <w:p>
      <w:pPr>
        <w:pStyle w:val="[Normal]"/>
        <w:spacing w:line="360" w:lineRule="auto"/>
        <w:ind w:firstLine="1134"/>
        <w:jc w:val="both"/>
        <w:rPr>
          <w:i/>
          <w:lang w:val="es-AR" w:eastAsia="es-AR" w:bidi="es-AR"/>
        </w:rPr>
      </w:pPr>
      <w:r>
        <w:rPr>
          <w:lang w:val="es-AR" w:eastAsia="es-AR" w:bidi="es-AR"/>
        </w:rPr>
        <w:t xml:space="preserve">Finalmente, considero apropiado remarcar que esta tesitura no ha sido modificada por la sentencia dictada por la Corte Provincial en la causa "Recupero On Line S.A. C/ Vera Jose Roberto S/ Cobro Ejecutivo" de fecha 18/09/2019. De la resolución aludida no se desprende la necesaria exigibilidad de la preparación de la vía ejecutiva en orden a la ejecución del pagaré de consumo, sino simplemente la facultad judicial de requerir el acompañamiento de la documentación a través de la vía procesal pertinente en caso de que hubiese sido omitida (cuestión que no ha ocurrido en autos toda vez que la documentación ha sido oportunamente acompañada). Y aún cuando ello no fuera así, el aludido requerimiento previo está sujeto a la estimación judicial del magistrado, de manera que esta Cámara como instancia revisora bien podría diferir respecto de la valoración efectuada por el a quo. En virtud de ello, entiendo que del citado fallo no puede inferirse que la preparación de la vía ejecutiva en el supuesto del pagaré de consumo integrado constituya una condición de cumplimiento inexcusable para dar trámite a la pretensión ejecutiva, solución que propondré al acuerdo.</w:t>
      </w:r>
    </w:p>
    <w:p>
      <w:pPr>
        <w:pStyle w:val="[Normal]"/>
        <w:spacing w:line="360" w:lineRule="auto"/>
        <w:ind w:firstLine="1134"/>
        <w:jc w:val="both"/>
        <w:rPr>
          <w:lang w:val="es-AR" w:eastAsia="es-AR" w:bidi="es-AR"/>
        </w:rPr>
      </w:pPr>
      <w:r>
        <w:rPr>
          <w:lang w:val="es-AR" w:eastAsia="es-AR" w:bidi="es-AR"/>
        </w:rPr>
        <w:t xml:space="preserve">II) Respecto al segundo cuestionamiento, en cuanto a la coincidencia de los montos y si existe o no relación con el documento base de la ejecución, he de señalar que la falta de coincidencia en los montos no necesariamente debe obedecer a la existencia de pagos parciales.</w:t>
      </w:r>
    </w:p>
    <w:p>
      <w:pPr>
        <w:pStyle w:val="[Normal]"/>
        <w:spacing w:line="360" w:lineRule="auto"/>
        <w:ind w:firstLine="1134"/>
        <w:jc w:val="both"/>
        <w:rPr>
          <w:lang w:val="es-AR" w:eastAsia="es-AR" w:bidi="es-AR"/>
        </w:rPr>
      </w:pPr>
      <w:r>
        <w:rPr>
          <w:lang w:val="es-AR" w:eastAsia="es-AR" w:bidi="es-AR"/>
        </w:rPr>
        <w:t xml:space="preserve">En primer lugar, porque el mismo ejecutante ha manifestado expresamente que no han existido por parte del demandado pagos en el marco del negocio documentado por los instrumentos que se ejecutan. </w:t>
      </w:r>
    </w:p>
    <w:p>
      <w:pPr>
        <w:pStyle w:val="[Normal]"/>
        <w:spacing w:line="360" w:lineRule="auto"/>
        <w:ind w:firstLine="1134"/>
        <w:jc w:val="both"/>
        <w:rPr>
          <w:lang w:val="es-AR" w:eastAsia="es-AR" w:bidi="es-AR"/>
        </w:rPr>
      </w:pPr>
      <w:r>
        <w:rPr>
          <w:lang w:val="es-AR" w:eastAsia="es-AR" w:bidi="es-AR"/>
        </w:rPr>
        <w:t xml:space="preserve">De ahí que el yerro del Juzgador primero se patentiza en el acto de construir una presunción sobre bases conceptuales erróneas. A saber, que todo reclamo por un monto menor al consignado en el título ejecutivo implica inexorablemente pagos parciales preexistentes.</w:t>
      </w:r>
    </w:p>
    <w:p>
      <w:pPr>
        <w:pStyle w:val="[Normal]"/>
        <w:spacing w:line="360" w:lineRule="auto"/>
        <w:ind w:firstLine="1134"/>
        <w:jc w:val="both"/>
        <w:rPr>
          <w:lang w:val="es-AR" w:eastAsia="es-AR" w:bidi="es-AR"/>
        </w:rPr>
      </w:pPr>
      <w:r>
        <w:rPr>
          <w:lang w:val="es-AR" w:eastAsia="es-AR" w:bidi="es-AR"/>
        </w:rPr>
        <w:t xml:space="preserve">Amén de lo señalado, la incorrección de la tesitura asumida se evidencia en que la misma importa una derogación virtual del instituto de la renuncia, remisión de deuda o del simple derecho que tiene el portador de un título a abstenerse de reclamar por el total de la deuda. Ello así, porque de convalidarse esta presunción en forma apodíctica, toda pretensión de cobro parcial debería interpretarse como reconocimiento de un pago parcial previo por parte del actor. El resultado práctico del proceder señalado acabaría de redundar en perjuicio del propio consumidor financiero, por cuanto el proveedor ante la inminencia del referido efecto, optaría por reclamar la totalidad de la deuda aún cuando eventualmente hubiese estado dispuesto a condonar parte de ella.</w:t>
      </w:r>
    </w:p>
    <w:p>
      <w:pPr>
        <w:pStyle w:val="[Normal]"/>
        <w:spacing w:line="360" w:lineRule="auto"/>
        <w:ind w:firstLine="1134"/>
        <w:jc w:val="both"/>
        <w:rPr>
          <w:lang w:val="es-AR" w:eastAsia="es-AR" w:bidi="es-AR"/>
        </w:rPr>
      </w:pPr>
      <w:r>
        <w:rPr>
          <w:lang w:val="es-AR" w:eastAsia="es-AR" w:bidi="es-AR"/>
        </w:rPr>
        <w:t xml:space="preserve">Distinta sería la situación si en virtud de las constancias de autos, el Juez de grado construyera la presunción de pago parcial en otras circunstancias objetivas y suficientes que vayan más allá del mero reclamo parcial de la deuda, habida cuenta de que en tal caso habría bases fácticas o jurídicas que respalden la suposición judicial (como así ha ocurrido en la Causa N° 4000/20, Reg. 148/2020, en los que esta Cámara presumió la existencia de pagos parciales sobre la base de que los mismos excedían al monto de capital dado en préstamo). Pero ello no es lo que ha acontecido en autos, ni lo que surge de la sentencia apelada, pues en nuestro caso no existieron pagos realizados por la ejecutada.</w:t>
      </w:r>
    </w:p>
    <w:p>
      <w:pPr>
        <w:pStyle w:val="[Normal]"/>
        <w:spacing w:line="360" w:lineRule="auto"/>
        <w:ind w:firstLine="1134"/>
        <w:jc w:val="both"/>
        <w:rPr>
          <w:lang w:val="es-AR" w:eastAsia="es-AR" w:bidi="es-AR"/>
        </w:rPr>
      </w:pPr>
      <w:r>
        <w:rPr>
          <w:lang w:val="es-AR" w:eastAsia="es-AR" w:bidi="es-AR"/>
        </w:rPr>
        <w:t xml:space="preserve">Por otro lado, conforme lo denunciara el ejecutante en su libelo inicial, el instrumento base de la presente ejecución es el pagaré, el cual fue librado teniendo como causa fin una relación de consumo (v.gr., suma adeudada en un mutuo de consumo).</w:t>
      </w:r>
    </w:p>
    <w:p>
      <w:pPr>
        <w:pStyle w:val="[Normal]"/>
        <w:spacing w:line="360" w:lineRule="auto"/>
        <w:ind w:firstLine="1134"/>
        <w:jc w:val="both"/>
        <w:rPr>
          <w:lang w:val="es-AR" w:eastAsia="es-AR" w:bidi="es-AR"/>
        </w:rPr>
      </w:pPr>
      <w:r>
        <w:rPr>
          <w:lang w:val="es-AR" w:eastAsia="es-AR" w:bidi="es-AR"/>
        </w:rPr>
        <w:t xml:space="preserve">Sobre esta lógica integrativa, la Corte Provincial sostuvo en la causa "Asociación Mutual Asís contra Cubilla, María Ester. Cobro ejecutivo" de fecha 14/08/19, C. 121.684, que correspondía desestimar aquellas soluciones que tiendan a destruir los sistemas que se integran alrededor del pagaré de consumo y, en su lugar, avanzar hacia un verdadero diálogo de las fuentes. Se trata de adoptar un método interpretativo armonizador que, evitando la exclusión de unas normas por otras, posibilite la aplicación simultánea, coherente y coordinada de fuentes legislativas convergentes (JAYME, Erik, "Identitéculturelle et intégratio: le droitinternational privé postmoderne", en Recueil des Tours, 1995, t. 251, p. 136). </w:t>
      </w:r>
    </w:p>
    <w:p>
      <w:pPr>
        <w:pStyle w:val="[Normal]"/>
        <w:spacing w:line="360" w:lineRule="auto"/>
        <w:ind w:firstLine="1134"/>
        <w:jc w:val="both"/>
        <w:rPr>
          <w:lang w:val="es-AR" w:eastAsia="es-AR" w:bidi="es-AR"/>
        </w:rPr>
      </w:pPr>
      <w:r>
        <w:rPr>
          <w:lang w:val="es-AR" w:eastAsia="es-AR" w:bidi="es-AR"/>
        </w:rPr>
        <w:t xml:space="preserve">En este contexto, el diálogo de fuentes se presenta como una teorización alternativa y superadora del dispositivo de resolución de antinomias que se basaba en la idea de que una regla debía excluir a la otra por razones temporales, de especificidad o de jerarquía. Es una superación del método de interpretación sistémica porque no se limita solamente a interpretar y aplicar una sola regla (que por supuesto ha sido interpretada sistemáticamente de manera previa). El diálogo de fuentes tiene como resultado - aunque no en todos los casos- la aplicación de dos o más reglas de manera complementaria, que terminan por funcionar como la regla del caso (SOZZO, Gonzalo, El diálogo de fuentes en el derecho del consumidor argentino,  en Revista de Derecho de Daños, Consumidores, Rubinzal Culzoni Editores, 2016-1).</w:t>
      </w:r>
    </w:p>
    <w:p>
      <w:pPr>
        <w:pStyle w:val="[Normal]"/>
        <w:spacing w:line="360" w:lineRule="auto"/>
        <w:ind w:firstLine="1134"/>
        <w:jc w:val="both"/>
        <w:rPr>
          <w:lang w:val="es-AR" w:eastAsia="es-AR" w:bidi="es-AR"/>
        </w:rPr>
      </w:pPr>
      <w:r>
        <w:rPr>
          <w:lang w:val="es-AR" w:eastAsia="es-AR" w:bidi="es-AR"/>
        </w:rPr>
        <w:t xml:space="preserve">En esta línea, el voto del Dr. Soria propicia un temperamento hermenéutico que garantiza la primacía del orden público de protección al consumidor, pero sin destruir la lógica de funcionamiento de los institutos de derecho privado y procesal: "...en una interpretación legal, si hubiera colisión entre una norma de derecho común y otra que protege a los consumidores, primará esta última. Por lo tanto, el régimen de derecho que surge de la ley 24.240 importará no sólo complementar sino también modificar o derogar, siquiera parcialmente, las normas de otras ramas jurídicas que se apliquen a la relación de consumo que concretamente se considere. Con todo, se advierte que si bien ´...la aplicación del derecho común no puede llegar a desvirtuar la efectividad de las normas fundamentales tuitivas del régimen especial´, a la inversa, ´la aplicación del sistema legal de protección del consumidor no puede llevarse al extremo de desnaturalizar las instituciones del derecho común sobre las que se aplica´".</w:t>
      </w:r>
    </w:p>
    <w:p>
      <w:pPr>
        <w:pStyle w:val="[Normal]"/>
        <w:spacing w:line="360" w:lineRule="auto"/>
        <w:ind w:firstLine="1134"/>
        <w:jc w:val="both"/>
        <w:rPr>
          <w:lang w:val="es-AR" w:eastAsia="es-AR" w:bidi="es-AR"/>
        </w:rPr>
      </w:pPr>
      <w:r>
        <w:rPr>
          <w:lang w:val="es-AR" w:eastAsia="es-AR" w:bidi="es-AR"/>
        </w:rPr>
        <w:t xml:space="preserve"> La consecuencia procesal de la adopción de esta tesitura es que si el título valor, autónomamente o integrado, reúne las exigencias del citado art. 36 será pertinente la ejecución en los límites que resulten del negocio base de la relación jurídica. Pero entiéndase bien; lo que se ejecuta es el pagaré como título ejecutivo. El hecho de que el monto que figura en el título de crédito pueda verse eventualmente modificado en función de lo que resulta de los términos informativos del contrato de mutuo en tanto relación causal subyacente, no importa variación del objeto de la ejecución que, desde el punto de vista técnico y formal, sigue siendo el pagaré. Hete aquí el fundamento jurídico que justifica tanto la habilitación y el mantenimiento de la vía ejecutiva en cuanto canal procesal idóneo para encauzar la pretensión de cobro como la innecesariedad de la preparación la vía ejecutiva, tema que ya fue tratada mas arriba.</w:t>
      </w:r>
    </w:p>
    <w:p>
      <w:pPr>
        <w:pStyle w:val="[Normal]"/>
        <w:spacing w:line="360" w:lineRule="auto"/>
        <w:ind w:firstLine="1134"/>
        <w:jc w:val="both"/>
        <w:rPr>
          <w:lang w:val="es-AR" w:eastAsia="es-AR" w:bidi="es-AR"/>
        </w:rPr>
      </w:pPr>
      <w:r>
        <w:rPr>
          <w:lang w:val="es-AR" w:eastAsia="es-AR" w:bidi="es-AR"/>
        </w:rPr>
        <w:t xml:space="preserve">Así lo ha entendido el Máximo Tribunal bonaerense al sostener que:</w:t>
      </w:r>
      <w:r>
        <w:rPr>
          <w:i/>
          <w:lang w:val="es-AR" w:eastAsia="es-AR" w:bidi="es-AR"/>
        </w:rPr>
        <w:t xml:space="preserve"> "Para  expedirse sobre la viabilidad de la demanda ejecutiva le es dable examinar los instrumentos complementarios el pagaré que oportunamente hubiese acompañado el ejecutante. Si el título en cuestión, integrado de tal modo o bien autónomamente, satisface las exigencias legales prescriptas en el estatuto del consumidor, podrá dar curso a la ejecución. Ello, claro está, sin desmedro del derecho del ejecutado de articular defensas, incluso centradas en el mencionado art. 36, tendientes a neutralizar la procedencia de la acción"</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 decir, de acuerdo a la comprensión que emana de la doctrina legal de la Corte provincial, el contrato de mutuo califica como documentación complementaria del pagaré y, en esa medida, puede servir para confirmar, completar, corregir y hasta invalidar al instrumento de crédito en función de la correspondencia y suficiencia informativa que medie entre éste y el contrato de mutuo. Pero, adviertase bien, esta función integradora y complementaria que desempeña el título jurídico causal no altera el objeto del juicio ejecutivo que sigue siendo el pagaré (Cf. MOREA, Adrián Oscar, "El pagaré de consumo como título ejecutivo integrable". Publicado en Temas de Derecho Procesal, Ed. Erreius, Octubre 2019).</w:t>
      </w:r>
    </w:p>
    <w:p>
      <w:pPr>
        <w:pStyle w:val="[Normal]"/>
        <w:spacing w:line="360" w:lineRule="auto"/>
        <w:ind w:firstLine="1134"/>
        <w:jc w:val="both"/>
        <w:rPr>
          <w:lang w:val="es-AR" w:eastAsia="es-AR" w:bidi="es-AR"/>
        </w:rPr>
      </w:pPr>
      <w:r>
        <w:rPr>
          <w:lang w:val="es-AR" w:eastAsia="es-AR" w:bidi="es-AR"/>
        </w:rPr>
        <w:t xml:space="preserve">El error interpretativo que afecta a la resolución apelada radica precisamente en tal circunstancia: suponer que porque la cuantía de la ejecución se limita al monto pactado en el mutuo se estaría ejecutando el mutuo, y no el pagaré. En realidad, el objeto del juicio ejecutivo sigue siendo el pagaré; lo que ocurre es que los términos de la reclamación ya no se circunscriben a las estrictos contornos de la cambial, sino que -por imperativo de la legislación consumeril- se completan con el contenido negocial subyacente en el contrato de mutuo. Por esta misma razón, decimos que el pagaré de consumo es un</w:t>
      </w:r>
      <w:r>
        <w:rPr>
          <w:i/>
          <w:lang w:val="es-AR" w:eastAsia="es-AR" w:bidi="es-AR"/>
        </w:rPr>
        <w:t xml:space="preserve"> "título ejecutivo integrado"</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Por otro lado, de la resolución apelada parecería desprenderse la siguiente antinomia: el mutuo contempla únicamente capital y el pagaré contiene capital e intereses. Ergo, corresponde mandar a llevar adelante la ejecución únicamente por el capital (</w:t>
      </w:r>
      <w:r>
        <w:rPr>
          <w:i/>
          <w:lang w:val="es-AR" w:eastAsia="es-AR" w:bidi="es-AR"/>
        </w:rPr>
        <w:t xml:space="preserve">"del análisis de las constancias agregadas en PDF en la causa  surge que el pagaré que se pretende ejecutar, fue librado por $20.300, mientras que del mutuo surge que el capital prestado es de $10.000, lo cual indica que el importe consignado en el cartular comprende capital más intereses, por lo que -en seguimiento de la doctrina ya citada del Superior Provincial- corresponde tomar como monto por el cual habrá de despacharse la ejecución, la suma del capital"</w:t>
      </w: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Sin embargo, lo cierto es que tanto el contrato de mutuo como el pagaré contemplan intereses. La diferencia estriba sencillamente en que el contrato de mutuo no liquida la suma resultante de los intereses pactados sino que tan sólo se refiere a las condiciones de financiación, y el pagaré lo hace implícitamente al incluirlos en la suma ejecutable final. Pero ello trasunta una diferencia meramente formal, más no repercute en la extensión material de la deuda, por lo que de ningún modo habilita al Juez de origen a detraer del monto de la ejecución el concepto de los intereses adeudados.</w:t>
      </w:r>
    </w:p>
    <w:p>
      <w:pPr>
        <w:pStyle w:val="[Normal]"/>
        <w:spacing w:line="360" w:lineRule="auto"/>
        <w:ind w:firstLine="1134"/>
        <w:jc w:val="both"/>
        <w:rPr>
          <w:lang w:val="es-AR" w:eastAsia="es-AR" w:bidi="es-AR"/>
        </w:rPr>
      </w:pPr>
      <w:r>
        <w:rPr>
          <w:lang w:val="es-AR" w:eastAsia="es-AR" w:bidi="es-AR"/>
        </w:rPr>
        <w:t xml:space="preserve">En virtud de ello, entiendo que los intereses pretendidos podrán ser reclamados en la medida de que guarden correspondencia con los convenidos en el contrato de mutuo y siempre que se hubiesen cumplimentado respecto a ellos las exigencias informativas previstas en el art. 36 de la ley del consumidor, circunstancia que será analizada al momento de practicarse la liquidación, momento procesal en el que se puede establecer con precisión la cuantía exacta de los intereses devengados.</w:t>
      </w:r>
    </w:p>
    <w:p>
      <w:pPr>
        <w:pStyle w:val="[Normal]"/>
        <w:spacing w:line="360" w:lineRule="auto"/>
        <w:ind w:firstLine="1134"/>
        <w:jc w:val="both"/>
        <w:rPr>
          <w:lang w:val="es-AR" w:eastAsia="es-AR" w:bidi="es-AR"/>
        </w:rPr>
      </w:pPr>
      <w:r>
        <w:rPr>
          <w:lang w:val="es-AR" w:eastAsia="es-AR" w:bidi="es-AR"/>
        </w:rPr>
        <w:t xml:space="preserve">III.- Por último, el apelante realiza un planteo de prejuzgamiento por parte de la a quo, que tampoco puede prosperar.</w:t>
      </w:r>
    </w:p>
    <w:p>
      <w:pPr>
        <w:pStyle w:val="[Normal]"/>
        <w:spacing w:line="360" w:lineRule="auto"/>
        <w:ind w:firstLine="1134"/>
        <w:jc w:val="both"/>
        <w:rPr>
          <w:lang w:val="es-AR" w:eastAsia="es-AR" w:bidi="es-AR"/>
        </w:rPr>
      </w:pPr>
      <w:r>
        <w:rPr>
          <w:lang w:val="es-AR" w:eastAsia="es-AR" w:bidi="es-AR"/>
        </w:rPr>
        <w:t xml:space="preserve">Sabido es que "</w:t>
      </w:r>
      <w:r>
        <w:rPr>
          <w:i/>
          <w:lang w:val="es-AR" w:eastAsia="es-AR" w:bidi="es-AR"/>
        </w:rPr>
        <w:t xml:space="preserve">El prejuzgamiento se configura cuando el Juez, sin que el estado del proceso lo exija, emite opinión precisa y fundada sobre el o los puntos concretos que deben ser materia de decisión en la sentencia definitiva, después de comenzado el pleito, ya sea fuera de los autos o con relación a los mismos (art. 17 inc. 7° Código Procesal). Si el magistrado ha ejercido la jurisdicción en tiempo propio y dentro de los límites estrictos de la cuestión sometida a consideración, no se configura prejuzgamiento." (</w:t>
      </w:r>
      <w:r>
        <w:rPr>
          <w:lang w:val="es-AR" w:eastAsia="es-AR" w:bidi="es-AR"/>
        </w:rPr>
        <w:t xml:space="preserve"> CC0103 MP 159104 RSI-172 I 06/06/2019 Sumario JUBA B5066249).</w:t>
      </w:r>
    </w:p>
    <w:p>
      <w:pPr>
        <w:pStyle w:val="[Normal]"/>
        <w:spacing w:line="360" w:lineRule="auto"/>
        <w:ind w:firstLine="1134"/>
        <w:jc w:val="both"/>
        <w:rPr>
          <w:lang w:val="es-AR" w:eastAsia="es-AR" w:bidi="es-AR"/>
        </w:rPr>
      </w:pPr>
      <w:r>
        <w:rPr>
          <w:lang w:val="es-AR" w:eastAsia="es-AR" w:bidi="es-AR"/>
        </w:rPr>
        <w:t xml:space="preserve">En la especie, lo que ha hecho el juez de grado en la resolución en crisis es ingresar a analizar el título base de la ejecución, dentro del marco de las facultades conferidas por el código procesal (Art. 529 del CPCC).</w:t>
      </w:r>
    </w:p>
    <w:p>
      <w:pPr>
        <w:pStyle w:val="[Normal]"/>
        <w:spacing w:line="360" w:lineRule="auto"/>
        <w:ind w:firstLine="1134"/>
        <w:jc w:val="both"/>
        <w:rPr>
          <w:i/>
          <w:lang w:val="es-AR" w:eastAsia="es-AR" w:bidi="es-AR"/>
        </w:rPr>
      </w:pPr>
      <w:r>
        <w:rPr>
          <w:lang w:val="es-AR" w:eastAsia="es-AR" w:bidi="es-AR"/>
        </w:rPr>
        <w:t xml:space="preserve">Al respecto, se ha dicho que "</w:t>
      </w:r>
      <w:r>
        <w:rPr>
          <w:i/>
          <w:lang w:val="es-AR" w:eastAsia="es-AR" w:bidi="es-AR"/>
        </w:rPr>
        <w:t xml:space="preserve">Si bien el juez en el primer examen que hace al despachar la ejecución, debe ser "cuidadoso", según lo dispone el art. 529 del Cód. Procesal, no crea prejuzgamiento, porque solo se trata de dar curso a los trámites previos al juicio ejecutivo, contando con facultades suficientes para examinar el título, aún de oficio, antes de dictar sentencia." (CC0203 LP B 80645 RSI-129-95 I 09/05/1995  Sumario JUBA  B352230).</w:t>
      </w:r>
    </w:p>
    <w:p>
      <w:pPr>
        <w:pStyle w:val="[Normal]"/>
        <w:spacing w:line="360" w:lineRule="auto"/>
        <w:ind w:firstLine="1134"/>
        <w:jc w:val="both"/>
        <w:rPr>
          <w:lang w:val="es-AR" w:eastAsia="es-AR" w:bidi="es-AR"/>
        </w:rPr>
      </w:pPr>
      <w:r>
        <w:rPr>
          <w:lang w:val="es-AR" w:eastAsia="es-AR" w:bidi="es-AR"/>
        </w:rPr>
        <w:t xml:space="preserve">Sentado lo anterior, en el caso no se configura el prejuzgamiento pretendido por el ejecutante, debiéndose rechazar el planteo formulado por el accionante.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Bernardo Louise votó en disidencia y dijo:</w:t>
      </w:r>
    </w:p>
    <w:p>
      <w:pPr>
        <w:pStyle w:val="[Normal]"/>
        <w:spacing w:line="360" w:lineRule="auto"/>
        <w:ind w:firstLine="1134"/>
        <w:jc w:val="both"/>
        <w:rPr>
          <w:lang w:val="es-AR" w:eastAsia="es-AR" w:bidi="es-AR"/>
        </w:rPr>
      </w:pPr>
      <w:r>
        <w:rPr>
          <w:lang w:val="es-AR" w:eastAsia="es-AR" w:bidi="es-AR"/>
        </w:rPr>
        <w:t xml:space="preserve">Disiento respecto a la solución conferida a la presente causa por mi colega preopinante, respecto a la primera y cuarta cuestión enunciada en su voto.</w:t>
      </w:r>
    </w:p>
    <w:p>
      <w:pPr>
        <w:pStyle w:val="[Normal]"/>
        <w:spacing w:line="360" w:lineRule="auto"/>
        <w:ind w:firstLine="1134"/>
        <w:jc w:val="both"/>
        <w:rPr>
          <w:lang w:val="es-AR" w:eastAsia="es-AR" w:bidi="es-AR"/>
        </w:rPr>
      </w:pPr>
      <w:r>
        <w:rPr>
          <w:lang w:val="es-AR" w:eastAsia="es-AR" w:bidi="es-AR"/>
        </w:rPr>
        <w:t xml:space="preserve">Reconsiderando la cuestión, es preciso comenzar recordando que esta Cámara resolvió en la causa N° </w:t>
      </w:r>
      <w:r>
        <w:rPr>
          <w:color w:val="000000"/>
          <w:lang w:val="es-AR" w:eastAsia="es-AR" w:bidi="es-AR"/>
        </w:rPr>
        <w:t xml:space="preserve">3741-19</w:t>
      </w:r>
      <w:r>
        <w:rPr>
          <w:lang w:val="es-AR" w:eastAsia="es-AR" w:bidi="es-AR"/>
        </w:rPr>
        <w:t xml:space="preserve"> caratulada "Pardo S.A. C/ Battellini s/ Cobro Ejecutivo" que correspondía revocar la decisión del Juez primero en la que intimó al ejecutado a efectuar el reconocimiento que determina el art. 523 inc. 1 del CPCC con carácter previo a dar trámite a la pretensión ejecutiva del pagaré de consumo, con base en que el ejecutante había acompañado la documentación complementaria a fs. 16 y 19 (solicitudes de crédito), dirigida a satisfacer lo dispuesto en la normativa de consumo y por tanto correspondía proceder a verificar tal extremo sin que ello importe la necesidad de requerir reconocimiento de firma de la ejecutada en la documental accesoria traída.</w:t>
      </w:r>
    </w:p>
    <w:p>
      <w:pPr>
        <w:pStyle w:val="[Normal]"/>
        <w:spacing w:line="360" w:lineRule="auto"/>
        <w:ind w:firstLine="1134"/>
        <w:jc w:val="both"/>
        <w:rPr>
          <w:lang w:val="es-AR" w:eastAsia="es-AR" w:bidi="es-AR"/>
        </w:rPr>
      </w:pPr>
      <w:r>
        <w:rPr>
          <w:lang w:val="es-AR" w:eastAsia="es-AR" w:bidi="es-AR"/>
        </w:rPr>
        <w:t xml:space="preserve">En sustento de la innecesariedad de la preparación de la vía, este Tribunal había citado un precedente de la Sala Primera de la Cámara Segunda en lo Civil y Comercial de La Plata (causa 123337 RSD 74/2018) en el que se decidió que </w:t>
      </w:r>
      <w:r>
        <w:rPr>
          <w:i/>
          <w:lang w:val="es-AR" w:eastAsia="es-AR" w:bidi="es-AR"/>
        </w:rPr>
        <w:t xml:space="preserve">"...corresponde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i/>
          <w:lang w:val="es-AR" w:eastAsia="es-AR" w:bidi="es-AR"/>
        </w:rPr>
      </w:pPr>
      <w:r>
        <w:rPr>
          <w:lang w:val="es-AR" w:eastAsia="es-AR" w:bidi="es-AR"/>
        </w:rPr>
        <w:t xml:space="preserve">Sin embargo, con posterioridad al fallo de referencia, la Casación Provincial tuvo oportunidad de pronunciarse específicamente sobre esta cuestión en la causa </w:t>
      </w:r>
      <w:r>
        <w:rPr>
          <w:i/>
          <w:lang w:val="es-AR" w:eastAsia="es-AR" w:bidi="es-AR"/>
        </w:rPr>
        <w:t xml:space="preserve">"Recupero On Line S.A. C/ Vera Jose Roberto S/ Cobro Ejecutivo"</w:t>
      </w:r>
      <w:r>
        <w:rPr>
          <w:lang w:val="es-AR" w:eastAsia="es-AR" w:bidi="es-AR"/>
        </w:rPr>
        <w:t xml:space="preserve"> de fecha 18/09/2019, en la que el objeto de la ejecución era precisamente un pagaré de consumo. En el citado precedente, la Suprema Corte de la Provincia de Buenos Aires reconoció ampliamente la facultad de los jueces para examinar si los papeles cambiarios acompañados reúnen los recaudos previstos por el art. 36 y, en lo que aquí interesa, para ordenar si lo juzga necesario su acompañamiento a través de la vía procesal pertinente (art. 523 CPCC) en el supuesto de que hubiesen sido admitidos: </w:t>
      </w:r>
      <w:r>
        <w:rPr>
          <w:i/>
          <w:lang w:val="es-AR" w:eastAsia="es-AR" w:bidi="es-AR"/>
        </w:rPr>
        <w:t xml:space="preserve">"...los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(arts. 34 inc. 5, apdo. "b", 36 inc. 2 y 523, CPCC)". </w:t>
      </w:r>
      <w:r>
        <w:rPr>
          <w:lang w:val="es-AR" w:eastAsia="es-AR" w:bidi="es-AR"/>
        </w:rPr>
        <w:t xml:space="preserve">Este criterio fue ratificado con fecha 16 de Octubre de 2019 en la causa n° 122155 caratulada </w:t>
      </w:r>
      <w:r>
        <w:rPr>
          <w:i/>
          <w:lang w:val="es-AR" w:eastAsia="es-AR" w:bidi="es-AR"/>
        </w:rPr>
        <w:t xml:space="preserve">"Banco Columbia S.A. C/ Barreto Juan Manuel S/ Cobro Ejecutivo".</w:t>
      </w:r>
    </w:p>
    <w:p>
      <w:pPr>
        <w:pStyle w:val="[Normal]"/>
        <w:spacing w:line="360" w:lineRule="auto"/>
        <w:ind w:firstLine="1134"/>
        <w:jc w:val="both"/>
        <w:rPr>
          <w:lang w:val="es-AR" w:eastAsia="es-AR" w:bidi="es-AR"/>
        </w:rPr>
      </w:pPr>
      <w:r>
        <w:rPr>
          <w:lang w:val="es-AR" w:eastAsia="es-AR" w:bidi="es-AR"/>
        </w:rPr>
        <w:t xml:space="preserve">En función de lo expuesto, entiendo que el Alto Tribunal ha hecho una especificación concreta de la doctrina legal sentada en la causa "Asociación Mutual Asís" (sent. de 14-VIII-2019, n° n° 121.684) en el sentido de legitimar la preparación de la vía como una medida ordenatoria válida (no necesariamente obligatoria) dentro del marco de atribuciones que el ordenamiento jurídico le confiere al juez para controlar la habilidad del pagaré de consumo. 	</w:t>
      </w:r>
    </w:p>
    <w:p>
      <w:pPr>
        <w:pStyle w:val="[Normal]"/>
        <w:spacing w:line="360" w:lineRule="auto"/>
        <w:ind w:firstLine="1134"/>
        <w:jc w:val="both"/>
        <w:rPr>
          <w:lang w:val="es-AR" w:eastAsia="es-AR" w:bidi="es-AR"/>
        </w:rPr>
      </w:pPr>
      <w:r>
        <w:rPr>
          <w:lang w:val="es-AR" w:eastAsia="es-AR" w:bidi="es-AR"/>
        </w:rPr>
        <w:t xml:space="preserve">Asimismo, considero que no concurren razones objetivas, determinantes y suficientes que me autoricen a evadirme de lo dicho por la Casación Provincial, toda vez que la decisión de convalidar la exigencia de la preparación de la vía ejecutiva constituye una opción hermenéutica posible dentro del marco de alternativas interpretativas jurídicamente válidas, aún cuando no haya sido la opción estimada como preferible a la que originariamente suscribió esta Cámara en oportunidad de pronunciarse sobre la cuestión debatida.</w:t>
      </w:r>
    </w:p>
    <w:p>
      <w:pPr>
        <w:pStyle w:val="[Normal]"/>
        <w:spacing w:line="360" w:lineRule="auto"/>
        <w:ind w:firstLine="1134"/>
        <w:jc w:val="both"/>
        <w:rPr>
          <w:lang w:val="es-AR" w:eastAsia="es-AR" w:bidi="es-AR"/>
        </w:rPr>
      </w:pPr>
      <w:r>
        <w:rPr>
          <w:lang w:val="es-AR" w:eastAsia="es-AR" w:bidi="es-AR"/>
        </w:rPr>
        <w:t xml:space="preserve">Como consecuencia lógica de lo dicho hasta aquí, entiendo que no media contradicción entre el fallo recurrido y la doctrina legal de la Casación provincial, sino por el contrario hay más bien adecuación objetiva entre lo decidido y los alcances específicos del criterio sentado por la Corte, tal como se desprende de los pronunciamientos referidos. </w:t>
      </w:r>
    </w:p>
    <w:p>
      <w:pPr>
        <w:pStyle w:val="[Normal]"/>
        <w:spacing w:line="360" w:lineRule="auto"/>
        <w:ind w:firstLine="1134"/>
        <w:jc w:val="both"/>
        <w:rPr>
          <w:color w:val="000000"/>
          <w:lang w:val="es-AR" w:eastAsia="es-AR" w:bidi="es-AR"/>
        </w:rPr>
      </w:pPr>
      <w:r>
        <w:rPr>
          <w:lang w:val="es-AR" w:eastAsia="es-AR" w:bidi="es-AR"/>
        </w:rPr>
        <w:t xml:space="preserve">A mayor abundamiento, he de recordar que nuestra Corte Provincial ha dicho que: </w:t>
      </w:r>
      <w:r>
        <w:rPr>
          <w:color w:val="000000"/>
          <w:lang w:val="es-AR" w:eastAsia="es-AR" w:bidi="es-AR"/>
        </w:rPr>
        <w:t xml:space="preserve">"</w:t>
      </w:r>
      <w:r>
        <w:rPr>
          <w:i/>
          <w:color w:val="000000"/>
          <w:lang w:val="es-AR" w:eastAsia="es-AR" w:bidi="es-AR"/>
        </w:rPr>
        <w:t xml:space="preserve">El acatamiento que los tribunales hacen a la doctrina legal de esta Corte responde al objetivo del recurso extraordinario de inaplicabidad de ley, esto es procurar y mantener la unidad en la jurisprudencia, y este propósito se frustaría si los tribunales de grado, apartándose del criterio de la Corte, insistieran en propugnar soluciones que irremisiblemente habrían de ser casadas. Ello no significa propiciar un ciego seguimiento a los pronunciamientos de esta Corte, ni un menoscabo del deber de los jueces de fallar según su ciencia y conciencia, pues les basta -llegado el caso- dejar a salvo sus opiniones personales</w:t>
      </w:r>
      <w:r>
        <w:rPr>
          <w:color w:val="000000"/>
          <w:lang w:val="es-AR" w:eastAsia="es-AR" w:bidi="es-AR"/>
        </w:rPr>
        <w:t xml:space="preserve"> " (cfr. SCBA, Ac.42965, S 27-11-90 Ac. 48428 S 17-2-98, entre otros, JUBA Sum B 21335, CAP, Causa Nº 6554/08 RSD Nº 19/09 del 9/3/09). A partir de ello, he de propiciar dejar de lado el criterio seguido hasta aquí y ajustando la postura a lo resuelto por la Suprema Corte de Justicia provincial en el precedente citado ut supra, confirmar lo decidido por el Juez de grado (CAP Causa 551 RSD N° 104/10 del 20/9/10-Fojas 561/7).</w:t>
      </w:r>
    </w:p>
    <w:p>
      <w:pPr>
        <w:pStyle w:val="[Normal]"/>
        <w:spacing w:line="360" w:lineRule="auto"/>
        <w:ind w:firstLine="1134"/>
        <w:jc w:val="both"/>
        <w:rPr>
          <w:color w:val="000000"/>
          <w:lang w:val="es-AR" w:eastAsia="es-AR" w:bidi="es-AR"/>
        </w:rPr>
      </w:pPr>
      <w:r>
        <w:rPr>
          <w:color w:val="000000"/>
          <w:lang w:val="es-AR" w:eastAsia="es-AR" w:bidi="es-AR"/>
        </w:rPr>
        <w:t xml:space="preserve">Desde una perspectiva sistémica, no es ocioso referir también que la solución propiciada por la Casación Provincial se halla en línea con el régimen jurídico aplicable a los instrumentos privados de acuerdo al cual el reconocimiento de la firma es condición necesaria para hacer valer un documento de esta naturaleza en juicio. Al respecto, el art. 314 del CCyC dispone: </w:t>
      </w:r>
      <w:r>
        <w:rPr>
          <w:i/>
          <w:color w:val="000000"/>
          <w:lang w:val="es-AR" w:eastAsia="es-AR" w:bidi="es-AR"/>
        </w:rPr>
        <w:t xml:space="preserve">"Reconocimiento de la firma. Todo aquel contra quien se presente un instrumento cuya firma se le atribuye debe manifestar si ésta le pertenece"</w:t>
      </w:r>
      <w:r>
        <w:rPr>
          <w:color w:val="000000"/>
          <w:lang w:val="es-AR" w:eastAsia="es-AR" w:bidi="es-AR"/>
        </w:rPr>
        <w:t xml:space="preserve">. Así pues, la norma recoge idéntica solución que la que propicia el art. 1028 CC. Lo que la ley ha previsto es una especie de inescindibilidad entre el reconocimiento de la firma y el reconocimiento del cuerpo del instrumento. </w:t>
      </w:r>
    </w:p>
    <w:p>
      <w:pPr>
        <w:pStyle w:val="[Normal]"/>
        <w:spacing w:line="360" w:lineRule="auto"/>
        <w:ind w:firstLine="1134"/>
        <w:jc w:val="both"/>
        <w:rPr>
          <w:lang w:val="es-AR" w:eastAsia="es-AR" w:bidi="es-AR"/>
        </w:rPr>
      </w:pPr>
      <w:r>
        <w:rPr>
          <w:lang w:val="es-AR" w:eastAsia="es-AR" w:bidi="es-AR"/>
        </w:rPr>
        <w:t xml:space="preserve">Finalmente, entiendo que tratándose de un proceso concerniente a la defensa de los derechos de usuarios y consumidores conforme lo advierte en este acto, antes del pronunciamiento, corresponde dar vista al Ministerio Fiscal de acuerdo con los argumentos que fueran expresados  por el Suscripto  en la causa N° 3852-20  caratulada "Salituri, Esteban Nicolás c/ Telecom Personal S.A. S/ Daños y Perj. Incump. Contractual (Exc. Estado)". A ello ha de adunarse  que  tanto nuestra Corte Provincial (SCBA, Ac. 122176 S 08/05/2019 y posteriormente en causa de reciente data en 8/10/2020, nuestra Corte federal se expidió concretamente a la necesaria intervención del Agente Fiscal en los procesos de consumo (CSJ HSBC Bank Argentina SA d Fajardo, Silvina Magalí s/ secuestro prendario).</w:t>
      </w:r>
    </w:p>
    <w:p>
      <w:pPr>
        <w:pStyle w:val="[Normal]"/>
        <w:spacing w:line="360" w:lineRule="auto"/>
        <w:ind w:firstLine="1134"/>
        <w:jc w:val="both"/>
        <w:rPr>
          <w:lang w:val="es-AR" w:eastAsia="es-AR" w:bidi="es-AR"/>
        </w:rPr>
      </w:pPr>
      <w:r>
        <w:rPr>
          <w:lang w:val="es-AR" w:eastAsia="es-AR" w:bidi="es-AR"/>
        </w:rPr>
        <w:t xml:space="preserve">En virtud de lo expuesto, corresponde con el alcance indicado confirmar la decisión adoptada en la instancia de origen y rechazar la apelación subsidiaria.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 </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Sr. Juez Roberto Degleue votó en el igual sentido que la Sra. Jueza Graciela Scaraffia y por idénticos fundamentos.</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jc w:val="both"/>
        <w:rPr>
          <w:b/>
          <w:lang w:val="es-AR" w:eastAsia="es-AR" w:bidi="es-AR"/>
        </w:rPr>
      </w:pPr>
      <w:r>
        <w:rPr>
          <w:b/>
          <w:lang w:val="es-AR" w:eastAsia="es-AR" w:bidi="es-AR"/>
        </w:rPr>
        <w:t xml:space="preserve">ASI LO VOTO.</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 conf. arts. 68 2da parte, 289 y arg. art. 298 del C.P.C.C. y SCBA, "B. , M. V. contra D. , J.M. . Incidente de alimentos", causa C. 117.807, 1 de abril de 2015).</w:t>
      </w:r>
    </w:p>
    <w:p>
      <w:pPr>
        <w:pStyle w:val="[Normal]"/>
        <w:spacing w:line="360" w:lineRule="auto"/>
        <w:ind w:firstLine="1134"/>
        <w:jc w:val="both"/>
        <w:rPr>
          <w:lang w:val="es-AR" w:eastAsia="es-AR" w:bidi="es-AR"/>
        </w:rPr>
      </w:pPr>
      <w:r>
        <w:rPr>
          <w:lang w:val="es-AR" w:eastAsia="es-AR" w:bidi="es-AR"/>
        </w:rPr>
        <w:t xml:space="preserve"> Regístrese. Notifíquese. Devuélvase.-	 </w:t>
      </w:r>
    </w:p>
    <w:p>
      <w:pPr>
        <w:pStyle w:val="[Normal]"/>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09:28:15 -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10:02:57 -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10:20:52 -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19/11/2020 10:33:39 - Luis Maria Bianco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‰9S")è$Âjn%Š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255102090004977478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‰9S")è$Âjn%Š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255102090004977478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