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4016 /</w:t>
      </w:r>
      <w:r>
        <w:rPr>
          <w:b/>
          <w:color w:val="000000"/>
          <w:lang w:val="es-AR" w:eastAsia="es-AR" w:bidi="es-AR"/>
        </w:rPr>
        <w:t xml:space="preserve">2020</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1139/1142</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24 de noviembre de </w:t>
      </w:r>
      <w:r>
        <w:rPr>
          <w:color w:val="000000"/>
          <w:lang w:val="es-AR" w:eastAsia="es-AR" w:bidi="es-AR"/>
        </w:rPr>
        <w:t xml:space="preserve">2020</w:t>
      </w:r>
      <w:r>
        <w:rPr>
          <w:lang w:val="es-AR" w:eastAsia="es-AR" w:bidi="es-AR"/>
        </w:rPr>
        <w:t xml:space="preserve">, reunidos en Acuerdo Ordinario los Sres. Jueces de la Excma. Cámara de Apelación en lo Civil y Comercial del Departamento Judicial Pergamino, para dictar sentencia en la causa N° </w:t>
      </w:r>
      <w:r>
        <w:rPr>
          <w:color w:val="000000"/>
          <w:lang w:val="es-AR" w:eastAsia="es-AR" w:bidi="es-AR"/>
        </w:rPr>
        <w:t xml:space="preserve">4016-20</w:t>
      </w:r>
      <w:r>
        <w:rPr>
          <w:lang w:val="es-AR" w:eastAsia="es-AR" w:bidi="es-AR"/>
        </w:rPr>
        <w:t xml:space="preserve"> caratulada </w:t>
      </w:r>
      <w:r>
        <w:rPr>
          <w:b/>
          <w:lang w:val="es-AR" w:eastAsia="es-AR" w:bidi="es-AR"/>
        </w:rPr>
        <w:t xml:space="preserve">"</w:t>
      </w:r>
      <w:r>
        <w:rPr>
          <w:b/>
          <w:color w:val="000000"/>
          <w:lang w:val="es-AR" w:eastAsia="es-AR" w:bidi="es-AR"/>
        </w:rPr>
        <w:t xml:space="preserve">MAJLUFF ROBERTO OSCAR C/ BAGNIS JAVIER ORLANDO Y OTROS S/ COBRO EJECUTIVO</w:t>
      </w:r>
      <w:r>
        <w:rPr>
          <w:b/>
          <w:lang w:val="es-AR" w:eastAsia="es-AR" w:bidi="es-AR"/>
        </w:rPr>
        <w:t xml:space="preserve">"</w:t>
      </w:r>
      <w:r>
        <w:rPr>
          <w:lang w:val="es-AR" w:eastAsia="es-AR" w:bidi="es-AR"/>
        </w:rPr>
        <w:t xml:space="preserve">, Expte. N° </w:t>
      </w:r>
      <w:r>
        <w:rPr>
          <w:color w:val="000000"/>
          <w:lang w:val="es-AR" w:eastAsia="es-AR" w:bidi="es-AR"/>
        </w:rPr>
        <w:t xml:space="preserve">61.985</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3</w:t>
      </w:r>
      <w:r>
        <w:rPr>
          <w:lang w:val="es-AR" w:eastAsia="es-AR" w:bidi="es-AR"/>
        </w:rPr>
        <w:t xml:space="preserve">, se practicó el sorteo de ley que determinó que la votación debía efectuarse en el siguiente orden: Graciela Scaraffia, Roberto Degleue y Bernardo Louise, y estudiados los autos se resolvió  plantear y votar las siguientes: </w:t>
      </w:r>
    </w:p>
    <w:p>
      <w:pPr>
        <w:pStyle w:val="[Normal]"/>
        <w:spacing w:line="360" w:lineRule="auto"/>
        <w:ind w:firstLine="1134"/>
        <w:jc w:val="both"/>
        <w:rPr>
          <w:lang w:val="es-AR" w:eastAsia="es-AR" w:bidi="es-AR"/>
        </w:rPr>
      </w:pPr>
      <w:r>
        <w:rPr>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 </w:t>
      </w:r>
    </w:p>
    <w:p>
      <w:pPr>
        <w:pStyle w:val="[Normal]"/>
        <w:spacing w:line="360" w:lineRule="auto"/>
        <w:ind w:firstLine="1134"/>
        <w:jc w:val="both"/>
        <w:rPr>
          <w:lang w:val="es-AR" w:eastAsia="es-AR" w:bidi="es-AR"/>
        </w:rPr>
      </w:pPr>
      <w:r>
        <w:rPr>
          <w:lang w:val="es-AR" w:eastAsia="es-AR" w:bidi="es-AR"/>
        </w:rPr>
        <w:t xml:space="preserve">El Sr. Juez de la anterior instancia rechazó la excepción de inhabilidad de título planteada por la parte demandada y en consecuencia, mandó llevar adelante la ejecución hasta tanto los ejecutados Javier Orlando Bagnis, Daniela Alejandra Alvarez y Daiana Nahir Alvarez hagan al acreedor Roberto Oscar Majluff, íntegro pago del capital reclamado de </w:t>
      </w:r>
      <w:r>
        <w:rPr>
          <w:color w:val="000000"/>
          <w:lang w:val="es-AR" w:eastAsia="es-AR" w:bidi="es-AR"/>
        </w:rPr>
        <w:t xml:space="preserve">pesos doscientos cuarenta y seis mil ochocientos cuarenta y cinco con 0/100 ($246.845,00)</w:t>
      </w:r>
      <w:r>
        <w:rPr>
          <w:lang w:val="es-AR" w:eastAsia="es-AR" w:bidi="es-AR"/>
        </w:rPr>
        <w:t xml:space="preserve">, </w:t>
      </w:r>
      <w:r>
        <w:rPr>
          <w:color w:val="000000"/>
          <w:lang w:val="es-AR" w:eastAsia="es-AR" w:bidi="es-AR"/>
        </w:rPr>
        <w:t xml:space="preserve">con más los intereses al tipo que cobra el Banco de la Provincia de Bs.As. en sus operaciones ordinarias de descuento a treinta días (tasa activa). Les aplicó las costas de la ejecución y d</w:t>
      </w:r>
      <w:r>
        <w:rPr>
          <w:lang w:val="es-AR" w:eastAsia="es-AR" w:bidi="es-AR"/>
        </w:rPr>
        <w:t xml:space="preserve">ifirió la regulación de honorarios de los profesionales intervinientes hasta el momento en que haya determinación firme de la base para ello.</w:t>
      </w:r>
    </w:p>
    <w:p>
      <w:pPr>
        <w:pStyle w:val="[Normal]"/>
        <w:spacing w:line="360" w:lineRule="auto"/>
        <w:ind w:firstLine="1134"/>
        <w:jc w:val="both"/>
        <w:rPr>
          <w:lang w:val="es-AR" w:eastAsia="es-AR" w:bidi="es-AR"/>
        </w:rPr>
      </w:pPr>
      <w:r>
        <w:rPr>
          <w:lang w:val="es-AR" w:eastAsia="es-AR" w:bidi="es-AR"/>
        </w:rPr>
        <w:t xml:space="preserve">El decisorio fue objeto de recurso de apelación por parte de los demandados mediante el escrito electrónico de fecha 21/07/2020, concedido en relación y con efecto suspensivo el 24/07/2020, se presentó memorial el 04/8/2020. La contraparte contestó el traslado respectivo mediante el escrito electrónico de fecha 12/8/2020. Elevada la causa, el 01/9/2020 se  llama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El Juzgador Primero al decidir, merita que los demandados alegaron que los títulos en ejecución se basan en una deuda inexistente pues, afirman, que los pagarés se hallan únicamente ligados a un contrato de locación que suscribieron en su momento y, a efectos de garantizar el pago del alquiler por lo que estando aquél contrato íntegramente cumplido, es que no adeudan suma alguna derivada del mismo. A partir de ello el Magistrado al fundar el rechazo de la excepción de título opuesta, sostuvo que</w:t>
      </w:r>
      <w:r>
        <w:rPr>
          <w:i/>
          <w:lang w:val="es-AR" w:eastAsia="es-AR" w:bidi="es-AR"/>
        </w:rPr>
        <w:t xml:space="preserve"> "... los argumentos ensayados por los accionados no se refieren a la literalidad de los títulos, sino que directamente apuntan a una cuestión causal cuyo debate excede el trámite del juicio ejecutivo". </w:t>
      </w:r>
      <w:r>
        <w:rPr>
          <w:lang w:val="es-AR" w:eastAsia="es-AR" w:bidi="es-AR"/>
        </w:rPr>
        <w:t xml:space="preserve">Consideró que la referencia a un supuesto contrato de locación que habrían suscripto con el actor, sin cuestionar la idoneidad de los títulos base del presente, constituye un cuestionamiento enderezado a centrar el debate en torno al negocio subyacente a la obligación cambiaria, lo cual está expresamente vedado por el ordenamiento procesal (Art. 542 inc. 4º del C.P.C.).</w:t>
      </w:r>
    </w:p>
    <w:p>
      <w:pPr>
        <w:pStyle w:val="[Normal]"/>
        <w:spacing w:line="360" w:lineRule="auto"/>
        <w:ind w:firstLine="1134"/>
        <w:jc w:val="both"/>
        <w:rPr>
          <w:lang w:val="es-AR" w:eastAsia="es-AR" w:bidi="es-AR"/>
        </w:rPr>
      </w:pPr>
      <w:r>
        <w:rPr>
          <w:lang w:val="es-AR" w:eastAsia="es-AR" w:bidi="es-AR"/>
        </w:rPr>
        <w:t xml:space="preserve">Los recurrentes inician su queja expresando que interpusieron</w:t>
      </w:r>
      <w:r>
        <w:rPr>
          <w:lang w:val="es-AR" w:eastAsia="es-AR" w:bidi="es-AR"/>
        </w:rPr>
        <w:t xml:space="preserve"> formal excepción de inhabilidad de título solicitando el rechazo de la acción promovida en base a la </w:t>
      </w:r>
      <w:r>
        <w:rPr>
          <w:rStyle w:val="EM"/>
          <w:i w:val="off"/>
          <w:lang w:val="es-AR" w:eastAsia="es-AR" w:bidi="es-AR"/>
        </w:rPr>
        <w:t xml:space="preserve">inexistencia de la deuda reclamada</w:t>
      </w:r>
      <w:r>
        <w:rPr>
          <w:lang w:val="es-AR" w:eastAsia="es-AR" w:bidi="es-AR"/>
        </w:rPr>
        <w:t xml:space="preserve"> y que concomitantemente con el responde de la demanda formularon denuncia penal por el delito de </w:t>
      </w:r>
      <w:r>
        <w:rPr>
          <w:rStyle w:val="EM"/>
          <w:i w:val="off"/>
          <w:lang w:val="es-AR" w:eastAsia="es-AR" w:bidi="es-AR"/>
        </w:rPr>
        <w:t xml:space="preserve">defraudación por abuso de firma en blanco</w:t>
      </w:r>
      <w:r>
        <w:rPr>
          <w:rStyle w:val="EM"/>
          <w:lang w:val="es-AR" w:eastAsia="es-AR" w:bidi="es-AR"/>
        </w:rPr>
        <w:t xml:space="preserve"> </w:t>
      </w:r>
      <w:r>
        <w:rPr>
          <w:lang w:val="es-AR" w:eastAsia="es-AR" w:bidi="es-AR"/>
        </w:rPr>
        <w:t xml:space="preserve">(art. 173 inc. 4 del Código Penal,</w:t>
      </w:r>
      <w:r>
        <w:rPr>
          <w:rStyle w:val="STRONG"/>
          <w:lang w:val="es-AR" w:eastAsia="es-AR" w:bidi="es-AR"/>
        </w:rPr>
        <w:t xml:space="preserve"> </w:t>
      </w:r>
      <w:r>
        <w:rPr>
          <w:rStyle w:val="STRONG"/>
          <w:b w:val="off"/>
          <w:lang w:val="es-AR" w:eastAsia="es-AR" w:bidi="es-AR"/>
        </w:rPr>
        <w:t xml:space="preserve">IPP N° 12-00-002660-20/00</w:t>
      </w:r>
      <w:r>
        <w:rPr>
          <w:lang w:val="es-AR" w:eastAsia="es-AR" w:bidi="es-AR"/>
        </w:rPr>
        <w:t xml:space="preserve">). En cuanto a la inexistencia de la deuda apuntan como elementos de prueba, los oportunamente acompañados (contrato de locación inmueble, cartas documento, acta de entrega de llaves). </w:t>
      </w:r>
    </w:p>
    <w:p>
      <w:pPr>
        <w:pStyle w:val="[Normal]"/>
        <w:spacing w:line="360" w:lineRule="auto"/>
        <w:ind w:firstLine="1134"/>
        <w:jc w:val="both"/>
        <w:rPr>
          <w:lang w:val="es-AR" w:eastAsia="es-AR" w:bidi="es-AR"/>
        </w:rPr>
      </w:pPr>
      <w:r>
        <w:rPr>
          <w:lang w:val="es-AR" w:eastAsia="es-AR" w:bidi="es-AR"/>
        </w:rPr>
        <w:t xml:space="preserve">Se agravian denunciando que la postura adoptada por el A-quo privilegia la rigidez de la norma, rechazando la apertura a prueba del presente proceso, siendo que los medios probatorios ofrecidos son por demás de contundentes, afectando el derecho de defensa en juicio de la parte demandada al verse seriamente perjudicados por la ejecución por una suma de dinero que jamás percibieron bajo ningún concepto de parte del actor. Enfatizan que</w:t>
      </w:r>
      <w:r>
        <w:rPr>
          <w:i/>
          <w:lang w:val="es-AR" w:eastAsia="es-AR" w:bidi="es-AR"/>
        </w:rPr>
        <w:t xml:space="preserve"> "...</w:t>
      </w:r>
      <w:r>
        <w:rPr>
          <w:rStyle w:val="U"/>
          <w:i/>
          <w:u w:val="none"/>
          <w:lang w:val="es-AR" w:eastAsia="es-AR" w:bidi="es-AR"/>
        </w:rPr>
        <w:t xml:space="preserve">la única vinculación que nos ha unido con el actor fue el contrato de locación sobre el inmueble situado en Av. de Mayo N° 476 de esta ciudad</w:t>
      </w:r>
      <w:r>
        <w:rPr>
          <w:i/>
          <w:lang w:val="es-AR" w:eastAsia="es-AR" w:bidi="es-AR"/>
        </w:rPr>
        <w:t xml:space="preserve">...</w:t>
      </w:r>
      <w:r>
        <w:rPr>
          <w:lang w:val="es-AR" w:eastAsia="es-AR" w:bidi="es-AR"/>
        </w:rPr>
        <w:t xml:space="preserve">" y </w:t>
      </w:r>
      <w:r>
        <w:rPr>
          <w:i/>
          <w:lang w:val="es-AR" w:eastAsia="es-AR" w:bidi="es-AR"/>
        </w:rPr>
        <w:t xml:space="preserve">"...de la documental aportada y de la restante prueba que se ofreció oportunamente al oponer la excepción, surge palmaria la </w:t>
      </w:r>
      <w:r>
        <w:rPr>
          <w:rStyle w:val="U"/>
          <w:i/>
          <w:u w:val="none"/>
          <w:lang w:val="es-AR" w:eastAsia="es-AR" w:bidi="es-AR"/>
        </w:rPr>
        <w:t xml:space="preserve">única vinculación que estas partes han poseído con el actor</w:t>
      </w:r>
      <w:r>
        <w:rPr>
          <w:i/>
          <w:lang w:val="es-AR" w:eastAsia="es-AR" w:bidi="es-AR"/>
        </w:rPr>
        <w:t xml:space="preserve"> y es por ello que el proceso debe ser abierto a prueba y así, poder demostrar la inexistencia de la deuda reclamada por el actor.</w:t>
      </w:r>
      <w:r>
        <w:rPr>
          <w:lang w:val="es-AR" w:eastAsia="es-AR" w:bidi="es-AR"/>
        </w:rPr>
        <w:t xml:space="preserve">", siendo que tal apertura no puede consistir en una facultad judicial y la búsqueda de la verdad real pasa a ser un imperativo. Agregan que no se desnaturaliza el acotado marco cognoscitivo del proceso ejecutivo cuando luce evidente que las pruebas acompañadas no son al mero efecto dilatorio. Informan que en la</w:t>
      </w:r>
      <w:r>
        <w:rPr>
          <w:rStyle w:val="U"/>
          <w:u w:val="none"/>
          <w:lang w:val="es-AR" w:eastAsia="es-AR" w:bidi="es-AR"/>
        </w:rPr>
        <w:t xml:space="preserve"> causa penal iniciada, se procediö a fijar fecha de pericia caligráfica</w:t>
      </w:r>
      <w:r>
        <w:rPr>
          <w:lang w:val="es-AR" w:eastAsia="es-AR" w:bidi="es-AR"/>
        </w:rPr>
        <w:t xml:space="preserve"> para peritar las firmas de los instrumentos base de la ejecución, como también, la fecha de llenado de los mismos. Invocan que "</w:t>
      </w:r>
      <w:r>
        <w:rPr>
          <w:i/>
          <w:lang w:val="es-AR" w:eastAsia="es-AR" w:bidi="es-AR"/>
        </w:rPr>
        <w:t xml:space="preserve">La regla que limita el examen del título a sus formas extrínsecas no puede llevarse al extremo de admitir una condena fundada en una deuda inexistente o, como en este caso, </w:t>
      </w:r>
      <w:r>
        <w:rPr>
          <w:rStyle w:val="U"/>
          <w:i/>
          <w:u w:val="none"/>
          <w:lang w:val="es-AR" w:eastAsia="es-AR" w:bidi="es-AR"/>
        </w:rPr>
        <w:t xml:space="preserve">en una conducta de carácter delictual,... </w:t>
      </w:r>
      <w:r>
        <w:rPr>
          <w:rStyle w:val="U"/>
          <w:u w:val="none"/>
          <w:lang w:val="es-AR" w:eastAsia="es-AR" w:bidi="es-AR"/>
        </w:rPr>
        <w:t xml:space="preserve">(del actor) ...</w:t>
      </w:r>
      <w:r>
        <w:rPr>
          <w:i/>
          <w:lang w:val="es-AR" w:eastAsia="es-AR" w:bidi="es-AR"/>
        </w:rPr>
        <w:t xml:space="preserve">quien aprovechándose de la situación jurídica que nos vinculaba, nos hizo suscribir los instrumentos en blanco para luego completarlos por un monto totalmente superior al contrato de locación que garantizábamos con la firma de los pagarés...Que, en consecuencia, debe admitirse la apertura a prueba y discusión de la causa que dio origen a la presente ejecución, por cuanto </w:t>
      </w:r>
      <w:r>
        <w:rPr>
          <w:rStyle w:val="U"/>
          <w:i/>
          <w:u w:val="none"/>
          <w:lang w:val="es-AR" w:eastAsia="es-AR" w:bidi="es-AR"/>
        </w:rPr>
        <w:t xml:space="preserve">la prueba de la realidad subyacente es fácilmente acreditable</w:t>
      </w:r>
      <w:r>
        <w:rPr>
          <w:i/>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Culmina peticionando se revoque la sentencia en crisis en cuanto no abrió a prueba las actuaciones y mandó llevar adelante la ejecución.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El actor contesta el traslado conferido, pidiendo el rechazo del recurso por cuanto afirma que es falso que la deuda en ejecución no exista pero lo que es definitorio enfatiza, es que el remedio procesal intentado es improcedente desde que no es posible ventilar la causa de la deuda en este trámite, hallándose previsto en dicho orden el juicio ordinario posterior en el que se podrán hacer valer las defensas y excepciones que no hubieren sido admisibles (art.551 CPCC) y por ello considera que el gravamen irreparable planteado por los ejecutados en la expresión de agravios, no es tal.</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Resalta que la naturaleza del juicio ejecutivo justamente es que a diferencia de los procesos de conocimiento no tiene por finalidad la declaración de un derecho dudoso o controvertido sino la de hacer efectivo un crédito que viene ya establecido o determinado en el documento, siendo características esenciales del pagaré la abstracción, ya que puesto en circulación se desvincula del contrato negocio o relación que dio lugar a su creación.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Solicita se rechace la apelación deducida y se confirme el decisorio recurrido.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Reseñados los antecedentes del recurso traído, examinado el trámite y</w:t>
      </w:r>
      <w:r>
        <w:rPr>
          <w:lang w:val="es-AR" w:eastAsia="es-AR" w:bidi="es-AR"/>
        </w:rPr>
        <w:t xml:space="preserve"> </w:t>
      </w:r>
      <w:r>
        <w:rPr>
          <w:lang w:val="es-AR" w:eastAsia="es-AR" w:bidi="es-AR"/>
        </w:rPr>
        <w:t xml:space="preserve">la excepción de inhabilidad de título opuesta alegando que la deuda pretendida es inexistente, adelanto que comparto el criterio del Juzgador anterior al rechazar la misma.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La excepción de inhabilidad de título se limita a las formas extrínsecas del instrumento, sin que pueda discutirse la legitimidad de la causa (art. 542, inc. 4, C.P.C.). </w:t>
      </w:r>
      <w:r>
        <w:rPr>
          <w:i/>
          <w:lang w:val="es-AR" w:eastAsia="es-AR" w:bidi="es-AR"/>
        </w:rPr>
        <w:t xml:space="preserve">"... la de inhabilidad se refiere a la falta de alguno o alguno de los elementos que esencialmente constituyen el título ejecutivo, sin que pueda sustentarse en cuestiones extrañas a las formas del mismo ni que pueda discutirse la legitimidad de la causa (v. gr. que el documento no sea alguno de los que la ley le atribuye la categoría de título ejecutivo; ausencia de los requisitos extrínsecos esenciales; porque el ejecutante o ejecutado carecen de legitimación procesal conforme el título; falta de exigibilidad de la obligación cartular; conf. art. 542 inc. 4, C.P.C.C. y su doctrina)".</w:t>
      </w:r>
      <w:r>
        <w:rPr>
          <w:lang w:val="es-AR" w:eastAsia="es-AR" w:bidi="es-AR"/>
        </w:rPr>
        <w:t xml:space="preserve"> (confr. CC0201 LP 125061 RSD 28/19 S 28/02/2019).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el juicio ejecutivo como principio general no es factible la discusión en torno del origen de la deuda y no se permite en este estadio sino examinar la bondad objetiva de los instrumentos, sin ir sobre la causa, que es materia propia del juicio de conocimiento y extraña a trámite como el presente. No procede supeditar la pretensión que constituye su objeto, a contingencias probatorias que deben ser materia del proceso ordinario posterior.  </w:t>
      </w:r>
      <w:r>
        <w:rPr>
          <w:i/>
          <w:lang w:val="es-AR" w:eastAsia="es-AR" w:bidi="es-AR"/>
        </w:rPr>
        <w:t xml:space="preserve">"...en la estructura del juicio ejecutivo el ejercicio del derecho de defensa del demandado se encuentra asegurado por la vía del juicio ordinario posterior, ya que el proceso culmina con una sentencia que no goza de la autoridad de cosa juzgada material; es decir, no se afecta el derecho de defensa del ejecutado porque se postergue la consideración de sus planteos defensivos referidos a la causa de la obligación para la etapa procesal posterior del juicio ejecutivo."</w:t>
      </w:r>
      <w:r>
        <w:rPr>
          <w:lang w:val="es-AR" w:eastAsia="es-AR" w:bidi="es-AR"/>
        </w:rPr>
        <w:t xml:space="preserve"> (confr. CCiv. y Com. Junín, 14.05.2009, "Q., R. O. c. Q., O. J.") y el Superior Tribunal de la Provincia ha dicho que </w:t>
      </w:r>
      <w:r>
        <w:rPr>
          <w:i/>
          <w:lang w:val="es-AR" w:eastAsia="es-AR" w:bidi="es-AR"/>
        </w:rPr>
        <w:t xml:space="preserve">"...lo decidido no desborda la estructura formal del proceso, ni cierra vías hábiles para un posterior reclamo (art. 551, Cód. Proc. citado)."</w:t>
      </w:r>
      <w:r>
        <w:rPr>
          <w:lang w:val="es-AR" w:eastAsia="es-AR" w:bidi="es-AR"/>
        </w:rPr>
        <w:t xml:space="preserve"> (confr. Ac 100378 del 18/06/2008).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En suma, en el estrecho marco cognoscitivo y limitado ámbito de debate que proporciona el juicio ejecutivo no hay lugar para la discusión causal, en razón de la naturaleza de la acción y las peculiaridades de la vía ejecutiva así como de la necesidad de no ordinarizar dicho proceso pero tal como aludiera en el párrafo anterior, la ajenidad de la discusión de la causa es un principio o regla general. Y como tal podrá presentar excepciones pues si bien se hallan vedadas </w:t>
      </w:r>
      <w:r>
        <w:rPr>
          <w:i/>
          <w:lang w:val="es-AR" w:eastAsia="es-AR" w:bidi="es-AR"/>
        </w:rPr>
        <w:t xml:space="preserve">"...las controversias sobre el origen del crédito ejecutado o legitimidad de la causa, ello es así en tanto no se consienta una condena fundada en una deuda inexistente, cuando tal circunstancia resulta manifiesta. </w:t>
      </w:r>
      <w:r>
        <w:rPr>
          <w:lang w:val="es-AR" w:eastAsia="es-AR" w:bidi="es-AR"/>
        </w:rPr>
        <w:t xml:space="preserve">(SCBA LP Rc 116474 I 14/08/2013).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Y no es éste el caso. Desde dicha perspectiva, soy de opinión que en autos ha sido debidamente rechazada la excepción de inhabilidad de título y coincido plenamente con la jurisprudencia que en tal sentido ha concluído que </w:t>
      </w:r>
      <w:r>
        <w:rPr>
          <w:i/>
          <w:lang w:val="es-AR" w:eastAsia="es-AR" w:bidi="es-AR"/>
        </w:rPr>
        <w:t xml:space="preserve">"...no fluyendo del propio instrumento ilicitud de la causa, la imposibilidad de discutir en juicio ejecutivo alternativas en torno a la relación fundamental deviene como consecuencia de la propia naturaleza jurídica de este proceso. Lo contrario se traduce en un desconocimiento de la razón de ser del pleito ejecutivo, instaurado con la finalidad de facilitar una vía específica para lograr la rápida satisfacción del crédito, en atención a las particulares características que la misma ley reconoce a determinados títulos". </w:t>
      </w:r>
      <w:r>
        <w:rPr>
          <w:lang w:val="es-AR" w:eastAsia="es-AR" w:bidi="es-AR"/>
        </w:rPr>
        <w:t xml:space="preserve">(confr. CNCom., sala A, 22.03.2005, "Aftyka Sachon, Ricardo M. c. Feo, Alfio", JA 2005-II-455, cit por Di Chiazza, Iván G., "Defensa causal y juicio ejecutivo", www.saij.jus.gov.ar, Id SAIJ: DACF110038).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 </w:t>
      </w:r>
      <w:r>
        <w:rPr>
          <w:i/>
          <w:lang w:val="es-AR" w:eastAsia="es-AR" w:bidi="es-AR"/>
        </w:rPr>
        <w:t xml:space="preserve">"La resistencia a un reclamo ejecutivo no puede sustentarse en la existencia de una causa ilícita o en una pretendida falta de causa, defensas ajenas al proceso de ejecución dentro del cual no podría ser objeto de prueba y debate semejante postulación, transformándolo lisa y llanamente en un juicio de conocimiento, por lo que las circunstancias invocadas en cuanto se dirigen a justificar hechos ajenos a la literalidad de título, vinculados a la legitimidad de la causa de la obligación, torna inviable la excepción de inhabilidad (art. 542, inc. 4°, Código Procesal).</w:t>
      </w:r>
      <w:r>
        <w:rPr>
          <w:lang w:val="es-AR" w:eastAsia="es-AR" w:bidi="es-AR"/>
        </w:rPr>
        <w:t xml:space="preserve"> (confr.CC0201 LP 97555 RSD-83-2 S 08/05/2002).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34"/>
        <w:jc w:val="both"/>
        <w:rPr>
          <w:lang w:val="es-AR" w:eastAsia="es-AR" w:bidi="es-AR"/>
        </w:rPr>
      </w:pPr>
      <w:r>
        <w:rPr>
          <w:lang w:val="es-AR" w:eastAsia="es-AR" w:bidi="es-AR"/>
        </w:rPr>
        <w:t xml:space="preserve">Aquí, la prueba que se ha pretendido producir apunta a la comprobación del vínculo que se dice subyacente entre las partes y a la consiguiente ilicitud en la creación de los instrumentos, y en dicho orden </w:t>
      </w:r>
      <w:r>
        <w:rPr>
          <w:i/>
          <w:lang w:val="es-AR" w:eastAsia="es-AR" w:bidi="es-AR"/>
        </w:rPr>
        <w:t xml:space="preserve">"Carece de sustento el agravio por el cual se pretende que debió abrirse el juicio a prueba para justificar la excepción de inhabilidad de título, ya que si bien es privativo del Juez de grado dicho extremo (art. 546, Código Procesal), no lo es menos que si las probanzas referidas están encaminadas a justificar hechos ajenos al proceso ejecutivo (causa de la obligación), resulta correcto que la presente causa tramitara como de puro derecho."</w:t>
      </w:r>
      <w:r>
        <w:rPr>
          <w:lang w:val="es-AR" w:eastAsia="es-AR" w:bidi="es-AR"/>
        </w:rPr>
        <w:t xml:space="preserve"> (confr. CC0201 LP 108281 RSD-219-07).</w:t>
      </w:r>
    </w:p>
    <w:p>
      <w:pPr>
        <w:pStyle w:val="[Normal]"/>
        <w:spacing w:line="360" w:lineRule="auto"/>
        <w:ind w:firstLine="1134"/>
        <w:jc w:val="both"/>
        <w:rPr>
          <w:lang w:val="es-AR" w:eastAsia="es-AR" w:bidi="es-AR"/>
        </w:rPr>
      </w:pPr>
      <w:r>
        <w:rPr>
          <w:lang w:val="es-AR" w:eastAsia="es-AR" w:bidi="es-AR"/>
        </w:rPr>
        <w:t xml:space="preserve">Por las razones dadas, citas legales y jurisprudenciales,</w:t>
      </w:r>
    </w:p>
    <w:p>
      <w:pPr>
        <w:pStyle w:val="[Normal]"/>
        <w:spacing w:line="360" w:lineRule="auto"/>
        <w:ind w:firstLine="1134"/>
        <w:jc w:val="both"/>
        <w:rPr>
          <w:lang w:val="es-AR" w:eastAsia="es-AR" w:bidi="es-AR"/>
        </w:rPr>
      </w:pPr>
      <w:r>
        <w:rPr>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Desestimar el recurso deducido por la parte demandada y en consecuencia confirmar la sentencia apelada de fecha 13/7/2020.</w:t>
      </w:r>
    </w:p>
    <w:p>
      <w:pPr>
        <w:pStyle w:val="[Normal]"/>
        <w:spacing w:line="360" w:lineRule="auto"/>
        <w:ind w:firstLine="1134"/>
        <w:jc w:val="both"/>
        <w:rPr>
          <w:lang w:val="es-AR" w:eastAsia="es-AR" w:bidi="es-AR"/>
        </w:rPr>
      </w:pPr>
      <w:r>
        <w:rPr>
          <w:lang w:val="es-AR" w:eastAsia="es-AR" w:bidi="es-AR"/>
        </w:rPr>
        <w:t xml:space="preserve">Costas al apelante perdidoso (arts. 68/9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Roberto M. Degleue y Bernardo Louise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Desestimar el recurso deducido por la parte demandada y en consecuencia confirmar la sentencia apelada de fecha 13/7/2020 (arts. 542, 546, 551 y ccs. del CPCC).</w:t>
      </w:r>
    </w:p>
    <w:p>
      <w:pPr>
        <w:pStyle w:val="[Normal]"/>
        <w:spacing w:line="360" w:lineRule="auto"/>
        <w:ind w:firstLine="1134"/>
        <w:jc w:val="both"/>
        <w:rPr>
          <w:lang w:val="es-AR" w:eastAsia="es-AR" w:bidi="es-AR"/>
        </w:rPr>
      </w:pPr>
      <w:r>
        <w:rPr>
          <w:lang w:val="es-AR" w:eastAsia="es-AR" w:bidi="es-AR"/>
        </w:rPr>
        <w:t xml:space="preserve">Costas al apelante perdidoso (arts. 68/9 CPCC).</w:t>
      </w:r>
    </w:p>
    <w:p>
      <w:pPr>
        <w:pStyle w:val="[Normal]"/>
        <w:spacing w:line="360" w:lineRule="auto"/>
        <w:ind w:firstLine="1134"/>
        <w:jc w:val="both"/>
        <w:rPr>
          <w:color w:val="000000"/>
          <w:lang w:val="es-AR" w:eastAsia="es-AR" w:bidi="es-AR"/>
        </w:rPr>
      </w:pPr>
      <w:r>
        <w:rPr>
          <w:lang w:val="es-AR" w:eastAsia="es-AR" w:bidi="es-AR"/>
        </w:rPr>
        <w:t xml:space="preserve">Regístrese. Notifíquese. Devuélvase.-</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24/11/2020 09:58:53 -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24/11/2020 09:59:56 - Bernardo Louise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24/11/2020 10:12:42 - Roberto Manuel Degleue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24/11/2020 11:50:36 -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‰7J")è$ƒ.5DŠ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234202090004991421</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‰7J")è$ƒ.5DŠ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234202090004991421</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EM">
    <w:name w:val="EM"/>
    <w:qFormat/>
    <w:rPr>
      <w:i/>
      <w:iCs/>
      <w:rtl w:val="off"/>
      <w:lang w:val="x-none" w:eastAsia="x-none" w:bidi="x-none"/>
    </w:rPr>
  </w:style>
  <w:style w:type="character" w:styleId="STRONG">
    <w:name w:val="STRONG"/>
    <w:qFormat/>
    <w:rPr>
      <w:b/>
      <w:bCs/>
      <w:rtl w:val="off"/>
      <w:lang w:val="x-none" w:eastAsia="x-none" w:bidi="x-none"/>
    </w:rPr>
  </w:style>
  <w:style w:type="character" w:styleId="U">
    <w:name w:val="U"/>
    <w:qFormat/>
    <w:rPr>
      <w:u w:val="single"/>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n"/>
      <w:shd w:val="clear" w:color="auto" w:fill="auto"/>
      <w:spacing w:before="0" w:after="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