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164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1061/1065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4031-20</w:t>
      </w:r>
      <w:r>
        <w:rPr>
          <w:lang w:val="es-AR" w:eastAsia="es-AR" w:bidi="es-AR"/>
        </w:rPr>
        <w:t xml:space="preserve"> caratulada </w:t>
      </w:r>
      <w:r>
        <w:rPr>
          <w:b/>
          <w:lang w:val="es-AR" w:eastAsia="es-AR" w:bidi="es-AR"/>
        </w:rPr>
        <w:t xml:space="preserve">"</w:t>
      </w:r>
      <w:r>
        <w:rPr>
          <w:b/>
          <w:color w:val="000000"/>
          <w:lang w:val="es-AR" w:eastAsia="es-AR" w:bidi="es-AR"/>
        </w:rPr>
        <w:t xml:space="preserve">CERIANI HORACIO MANUEL C/ MONZON ROSA ANGELA  S/ ACCION REIVINDICATORIA</w:t>
      </w:r>
      <w:r>
        <w:rPr>
          <w:b/>
          <w:lang w:val="es-AR" w:eastAsia="es-AR" w:bidi="es-AR"/>
        </w:rPr>
        <w:t xml:space="preserve">"</w:t>
      </w:r>
      <w:r>
        <w:rPr>
          <w:lang w:val="es-AR" w:eastAsia="es-AR" w:bidi="es-AR"/>
        </w:rPr>
        <w:t xml:space="preserve">, Expte. N° </w:t>
      </w:r>
      <w:r>
        <w:rPr>
          <w:color w:val="000000"/>
          <w:lang w:val="es-AR" w:eastAsia="es-AR" w:bidi="es-AR"/>
        </w:rPr>
        <w:t xml:space="preserve">83639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M. Degleue, ausente en el presente Acuerdo por gozar de licencia médica,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color w:val="000000"/>
          <w:lang w:val="es-AR" w:eastAsia="es-AR" w:bidi="es-AR"/>
        </w:rPr>
      </w:pPr>
      <w:r>
        <w:rPr>
          <w:lang w:val="es-AR" w:eastAsia="es-AR" w:bidi="es-AR"/>
        </w:rPr>
        <w:t xml:space="preserve">La Señora Jueza de la primera instancia </w:t>
      </w:r>
      <w:r>
        <w:rPr>
          <w:color w:val="000000"/>
          <w:lang w:val="es-AR" w:eastAsia="es-AR" w:bidi="es-AR"/>
        </w:rPr>
        <w:t xml:space="preserve">hizo lugar a la demanda  de reivindicación y en consecuencia condenó a la demandada a restituir la posesión del inmueble cuyos datos catastrales son: Circunscripción 1, Sección G, Quinta 71, Manzana 71 " d " Parcela 3 e, sito en la calle Belgrano Nº 1542 de esta ciudad de Pergamino, al actor dentro de los diez días de notificada la presente, bajo apercibimiento de desahucio. Rechazó el pedido de daños y perjuicios incoado y le impuso las costas al perdidoso ( art. 68 CPC.), y difirió difiero la regulación de los honorarios de los letrados intervinientes, para cuando se hayan cumplido con las disposiciones del art. 27 inc. a de la ley arancelaria.</w:t>
      </w:r>
    </w:p>
    <w:p>
      <w:pPr>
        <w:pStyle w:val="[Normal]"/>
        <w:spacing w:line="360" w:lineRule="auto"/>
        <w:ind w:firstLine="1134"/>
        <w:jc w:val="both"/>
        <w:rPr>
          <w:lang w:val="es-AR" w:eastAsia="es-AR" w:bidi="es-AR"/>
        </w:rPr>
      </w:pPr>
      <w:r>
        <w:rPr>
          <w:lang w:val="es-AR" w:eastAsia="es-AR" w:bidi="es-AR"/>
        </w:rPr>
        <w:t xml:space="preserve">Asimismo, rechazó el pedido de daños y perjuicios incoado y le impuso las costas a la actora perdidosa ( art. 68 CPC.),</w:t>
      </w:r>
    </w:p>
    <w:p>
      <w:pPr>
        <w:pStyle w:val="[Normal]"/>
        <w:spacing w:line="360" w:lineRule="auto"/>
        <w:ind w:firstLine="1134"/>
        <w:jc w:val="both"/>
        <w:rPr>
          <w:lang w:val="es-AR" w:eastAsia="es-AR" w:bidi="es-AR"/>
        </w:rPr>
      </w:pPr>
      <w:r>
        <w:rPr>
          <w:lang w:val="es-AR" w:eastAsia="es-AR" w:bidi="es-AR"/>
        </w:rPr>
        <w:t xml:space="preserve">Dicho decisorio fue objeto de los recursos de apelación interpuestos por la actora el 14/08/2020 y por el demandado el 07/08/2020 concedidos libremente el 18/08/2020 y 10/08/2020 respectivamente. En fecha 01/09/2020 expresa agravios la actora y en fecha 14/09/2020 lo hace la demandada. En fecha 17/09/2020 se ordenan los traslados recíprocos siendo contestados por ambas partes.</w:t>
      </w:r>
    </w:p>
    <w:p>
      <w:pPr>
        <w:pStyle w:val="[Normal]"/>
        <w:spacing w:line="360" w:lineRule="auto"/>
        <w:ind w:firstLine="1134"/>
        <w:jc w:val="both"/>
        <w:rPr>
          <w:lang w:val="es-AR" w:eastAsia="es-AR" w:bidi="es-AR"/>
        </w:rPr>
      </w:pPr>
      <w:r>
        <w:rPr>
          <w:lang w:val="es-AR" w:eastAsia="es-AR" w:bidi="es-AR"/>
        </w:rPr>
        <w:t xml:space="preserve">En fecha 01/10/2020 se dicta la providencia de autos para sentencia, la que firme a la fecha deja la causa en condiciones de ser fallada ( arts. 263 / 267 CPC., arts. 168 y 170 de la Const. Prov. Bs. As. ).</w:t>
      </w:r>
    </w:p>
    <w:p>
      <w:pPr>
        <w:pStyle w:val="[Normal]"/>
        <w:spacing w:line="360" w:lineRule="auto"/>
        <w:ind w:firstLine="1134"/>
        <w:jc w:val="both"/>
        <w:rPr>
          <w:lang w:val="es-AR" w:eastAsia="es-AR" w:bidi="es-AR"/>
        </w:rPr>
      </w:pPr>
      <w:r>
        <w:rPr>
          <w:b/>
          <w:lang w:val="es-AR" w:eastAsia="es-AR" w:bidi="es-AR"/>
        </w:rPr>
        <w:t xml:space="preserve">Agravios de la actora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Se alza la parte accionante contra el segmento de la sentencia, que con fundamentos en que el monto estimado como canon locativo sólo se encuentra "estimado", sin haber pericia al efecto que así lo determine por cuanto la misma no ha sido ofrecida, desestimó el reclamo acumulado de reivindicación de daños y perjuicios por la ocupación indebida.</w:t>
      </w:r>
    </w:p>
    <w:p>
      <w:pPr>
        <w:pStyle w:val="[Normal]"/>
        <w:spacing w:line="360" w:lineRule="auto"/>
        <w:ind w:firstLine="1134"/>
        <w:jc w:val="both"/>
        <w:rPr>
          <w:lang w:val="es-AR" w:eastAsia="es-AR" w:bidi="es-AR"/>
        </w:rPr>
      </w:pPr>
      <w:r>
        <w:rPr>
          <w:lang w:val="es-AR" w:eastAsia="es-AR" w:bidi="es-AR"/>
        </w:rPr>
        <w:t xml:space="preserve">Fundamenta su crítica en el excesivo rigor ritual, por cuanto entiende que los daños y perjuicios surgen de la sana crítica y que el reclamo se basa en un monto  mensual ínfimo considerado en la suma de $ 5.000, sumado a que designar un Perito importaría un gasto que ninguna de las dos partes puede satisfacer.</w:t>
      </w:r>
    </w:p>
    <w:p>
      <w:pPr>
        <w:pStyle w:val="[Normal]"/>
        <w:spacing w:line="360" w:lineRule="auto"/>
        <w:ind w:firstLine="1134"/>
        <w:jc w:val="both"/>
        <w:rPr>
          <w:lang w:val="es-AR" w:eastAsia="es-AR" w:bidi="es-AR"/>
        </w:rPr>
      </w:pPr>
      <w:r>
        <w:rPr>
          <w:lang w:val="es-AR" w:eastAsia="es-AR" w:bidi="es-AR"/>
        </w:rPr>
        <w:t xml:space="preserve">Por lo demás entiende arbitrario el fallo, por cuanto pudo al menos disminuir el valor si consideraba que era alto y en cambio optó por  dejarlo de lado como si el daño económico no hubiera existido. Agrega además, que la resolución no se funda en ningún articulado y que también viola la equidad al favorecer a quien ha ocupado ilegalmente la propiedad, por lo que concluye solicitando la revocación del fallo con costas.</w:t>
      </w:r>
    </w:p>
    <w:p>
      <w:pPr>
        <w:pStyle w:val="[Normal]"/>
        <w:spacing w:line="360" w:lineRule="auto"/>
        <w:ind w:firstLine="1134"/>
        <w:jc w:val="both"/>
        <w:rPr>
          <w:lang w:val="es-AR" w:eastAsia="es-AR" w:bidi="es-AR"/>
        </w:rPr>
      </w:pPr>
      <w:r>
        <w:rPr>
          <w:lang w:val="es-AR" w:eastAsia="es-AR" w:bidi="es-AR"/>
        </w:rPr>
        <w:t xml:space="preserve">La parte demandada replica los argumentos expuestos y manifiesta que sin una pericia que pueda informar el valor locativo, el Juez no puede estimar un monto, dado que podría darse el caso de que el valor resulte negativo por tratarse de un vivienda en estado de ruina. Agrega, que nada se ha informado ni acreditado sobre el estado de la vivienda para que se puede conceder daños y perjuicios a favor del actor, por lo que peticiona se confirme la resolución apelada.</w:t>
      </w:r>
    </w:p>
    <w:p>
      <w:pPr>
        <w:pStyle w:val="[Normal]"/>
        <w:spacing w:line="360" w:lineRule="auto"/>
        <w:ind w:firstLine="1134"/>
        <w:jc w:val="both"/>
        <w:rPr>
          <w:b/>
          <w:lang w:val="es-AR" w:eastAsia="es-AR" w:bidi="es-AR"/>
        </w:rPr>
      </w:pPr>
      <w:r>
        <w:rPr>
          <w:b/>
          <w:lang w:val="es-AR" w:eastAsia="es-AR" w:bidi="es-AR"/>
        </w:rPr>
        <w:t xml:space="preserve">Agravios de la Demandada:</w:t>
      </w:r>
    </w:p>
    <w:p>
      <w:pPr>
        <w:pStyle w:val="[Normal]"/>
        <w:spacing w:line="360" w:lineRule="auto"/>
        <w:ind w:firstLine="1134"/>
        <w:jc w:val="both"/>
        <w:rPr>
          <w:lang w:val="es-AR" w:eastAsia="es-AR" w:bidi="es-AR"/>
        </w:rPr>
      </w:pPr>
      <w:r>
        <w:rPr>
          <w:lang w:val="es-AR" w:eastAsia="es-AR" w:bidi="es-AR"/>
        </w:rPr>
        <w:t xml:space="preserve">Se duele la parte demandada, en tanto consideró acreditada la legitimación activa de la parte contraria solamente con el certificado de dominio del inmueble que se pretende reivindicar y la declaratoria de herederos, lo cual entiende que es insuficiente, por cuanto se debería acreditar la inscripción de la declaratoria de herederos en el Registro de la Propiedad.</w:t>
      </w:r>
    </w:p>
    <w:p>
      <w:pPr>
        <w:pStyle w:val="[Normal]"/>
        <w:spacing w:line="360" w:lineRule="auto"/>
        <w:ind w:firstLine="1134"/>
        <w:jc w:val="both"/>
        <w:rPr>
          <w:lang w:val="es-AR" w:eastAsia="es-AR" w:bidi="es-AR"/>
        </w:rPr>
      </w:pPr>
      <w:r>
        <w:rPr>
          <w:lang w:val="es-AR" w:eastAsia="es-AR" w:bidi="es-AR"/>
        </w:rPr>
        <w:t xml:space="preserve">Se agravia también, por que se da por acreditado el cumplimiento de la pérdida de la posesión, requisito de la acción y que el actor es heredero del titular dominial sin haber acreditado tener la posesión y haber perdido la misma, por lo que finaliza solicitanto la revocación de la sentencia de grado.</w:t>
      </w:r>
    </w:p>
    <w:p>
      <w:pPr>
        <w:pStyle w:val="[Normal]"/>
        <w:spacing w:line="360" w:lineRule="auto"/>
        <w:ind w:firstLine="1134"/>
        <w:jc w:val="both"/>
        <w:rPr>
          <w:lang w:val="es-AR" w:eastAsia="es-AR" w:bidi="es-AR"/>
        </w:rPr>
      </w:pPr>
      <w:r>
        <w:rPr>
          <w:lang w:val="es-AR" w:eastAsia="es-AR" w:bidi="es-AR"/>
        </w:rPr>
        <w:t xml:space="preserve">Los agravios, merecieron el respectivo responde de la parte actora, quien con transcripción de citas de jurisprudencia, desestima las quejas ensayadas.</w:t>
      </w:r>
    </w:p>
    <w:p>
      <w:pPr>
        <w:pStyle w:val="[Normal]"/>
        <w:spacing w:line="360" w:lineRule="auto"/>
        <w:ind w:firstLine="1134"/>
        <w:jc w:val="both"/>
        <w:rPr>
          <w:lang w:val="es-AR" w:eastAsia="es-AR" w:bidi="es-AR"/>
        </w:rPr>
      </w:pPr>
      <w:r>
        <w:rPr>
          <w:b/>
          <w:lang w:val="es-AR" w:eastAsia="es-AR" w:bidi="es-AR"/>
        </w:rPr>
        <w:t xml:space="preserve">a )</w:t>
      </w:r>
      <w:r>
        <w:rPr>
          <w:lang w:val="es-AR" w:eastAsia="es-AR" w:bidi="es-AR"/>
        </w:rPr>
        <w:t xml:space="preserve"> En tarea de decidir he de tratar primeramente los agravios de la parte demandada, dado que un resultado favorable a su queja, tornaría abstracta la pieza recursiva de la parte accionante.</w:t>
      </w:r>
    </w:p>
    <w:p>
      <w:pPr>
        <w:pStyle w:val="[Normal]"/>
        <w:spacing w:line="360" w:lineRule="auto"/>
        <w:ind w:firstLine="1134"/>
        <w:jc w:val="both"/>
        <w:rPr>
          <w:lang w:val="es-AR" w:eastAsia="es-AR" w:bidi="es-AR"/>
        </w:rPr>
      </w:pPr>
      <w:r>
        <w:rPr>
          <w:lang w:val="es-AR" w:eastAsia="es-AR" w:bidi="es-AR"/>
        </w:rPr>
        <w:t xml:space="preserve">Limitada la facultad revisora de la Alzada al alcance y extensión de agravio, adelanto desde ya, que el recurso de apelación en tal sentido no puede ser recibido.</w:t>
      </w:r>
    </w:p>
    <w:p>
      <w:pPr>
        <w:pStyle w:val="[Normal]"/>
        <w:spacing w:line="360" w:lineRule="auto"/>
        <w:ind w:firstLine="1134"/>
        <w:jc w:val="both"/>
        <w:rPr>
          <w:lang w:val="es-AR" w:eastAsia="es-AR" w:bidi="es-AR"/>
        </w:rPr>
      </w:pPr>
      <w:r>
        <w:rPr>
          <w:lang w:val="es-AR" w:eastAsia="es-AR" w:bidi="es-AR"/>
        </w:rPr>
        <w:t xml:space="preserve">En punto al argumento central en cuanto a la falta de legitimación activa con base en que la declaratoria de herederos no abastece el recaudo legal sino que además se requiere la inscripción en el Registro de la Propiedad Inmueble, no tiene sustento en norma alguna.</w:t>
      </w:r>
    </w:p>
    <w:p>
      <w:pPr>
        <w:pStyle w:val="[Normal]"/>
        <w:spacing w:line="360" w:lineRule="auto"/>
        <w:ind w:firstLine="1134"/>
        <w:jc w:val="both"/>
        <w:rPr>
          <w:lang w:val="es-AR" w:eastAsia="es-AR" w:bidi="es-AR"/>
        </w:rPr>
      </w:pPr>
      <w:r>
        <w:rPr>
          <w:lang w:val="es-AR" w:eastAsia="es-AR" w:bidi="es-AR"/>
        </w:rPr>
        <w:t xml:space="preserve">La acción real de reivindicación, "... le asiste al titular del dominio que ha perdido la posesión o que tiene el derecho de poseer de reclamarla de quien efectivamente la posee y que no puede oponer un título mejor que el del actor (cfr. Salas, A. - Trigo Represas, Félix A. - López Mesa, Marcelo J., "Código Civil Anotado", ed. Depalma, Bs. As., año 2000, t. IV -B, p. 97, n° 1 bis). </w:t>
      </w:r>
    </w:p>
    <w:p>
      <w:pPr>
        <w:pStyle w:val="[Normal]"/>
        <w:spacing w:line="360" w:lineRule="auto"/>
        <w:ind w:firstLine="1134"/>
        <w:jc w:val="both"/>
        <w:rPr>
          <w:lang w:val="es-AR" w:eastAsia="es-AR" w:bidi="es-AR"/>
        </w:rPr>
      </w:pPr>
      <w:r>
        <w:rPr>
          <w:lang w:val="es-AR" w:eastAsia="es-AR" w:bidi="es-AR"/>
        </w:rPr>
        <w:t xml:space="preserve">En autos, no se halla discutido que el actor de autos, Horacio Manuel Ceriani, comparece al presente en el carácter de heredero de una de las propietarias del inmueble Doña Petrona Elodia Pezzi, conforme declaratoria dictada en el trámite del sucesorio de la causante, expediente N° 82.090, como tampoco la falta de mejor título de la demandada de autos para permanecer en la finca.</w:t>
      </w:r>
    </w:p>
    <w:p>
      <w:pPr>
        <w:pStyle w:val="[Normal]"/>
        <w:spacing w:line="360" w:lineRule="auto"/>
        <w:ind w:firstLine="1134"/>
        <w:jc w:val="both"/>
        <w:rPr>
          <w:lang w:val="es-AR" w:eastAsia="es-AR" w:bidi="es-AR"/>
        </w:rPr>
      </w:pPr>
      <w:r>
        <w:rPr>
          <w:lang w:val="es-AR" w:eastAsia="es-AR" w:bidi="es-AR"/>
        </w:rPr>
        <w:t xml:space="preserve">La sucesión es la sustitución de un sujeto por otro en la titularidad del derecho dado que "...  La muerte real o presunta de una persona causa la apertura de su sucesión y la transmisión de su herencia a las personas llamadas a sucederle por el testamento o por la ley..." ( art. 2277 C.C.C.).</w:t>
      </w:r>
    </w:p>
    <w:p>
      <w:pPr>
        <w:pStyle w:val="[Normal]"/>
        <w:spacing w:line="360" w:lineRule="auto"/>
        <w:ind w:firstLine="1134"/>
        <w:jc w:val="both"/>
        <w:rPr>
          <w:lang w:val="es-AR" w:eastAsia="es-AR" w:bidi="es-AR"/>
        </w:rPr>
      </w:pPr>
      <w:r>
        <w:rPr>
          <w:lang w:val="es-AR" w:eastAsia="es-AR" w:bidi="es-AR"/>
        </w:rPr>
        <w:t xml:space="preserve">La herencia comprende todos los derechos y obligaciones del causante que no se extinguen por su fallecimiento y "... desde la muerte del causante, los herederos tienen todos los derechos y acciones de aquél de manera indivisa..." ( art. 2280 C.C.C.)</w:t>
      </w:r>
    </w:p>
    <w:p>
      <w:pPr>
        <w:pStyle w:val="[Normal]"/>
        <w:spacing w:line="360" w:lineRule="auto"/>
        <w:ind w:firstLine="1134"/>
        <w:jc w:val="both"/>
        <w:rPr>
          <w:lang w:val="es-AR" w:eastAsia="es-AR" w:bidi="es-AR"/>
        </w:rPr>
      </w:pPr>
      <w:r>
        <w:rPr>
          <w:lang w:val="es-AR" w:eastAsia="es-AR" w:bidi="es-AR"/>
        </w:rPr>
        <w:t xml:space="preserve">El accionante en su calidad de heredero entra en posesión de la herencia a partir de la muerte del autor de la sucesión y continúa la del propietario, dándose las condiciones para el ejercicio de la acción, el heredero investido con la posesión hereditaria, ya sea de pleno derecho (art. 3410) o por decisión judicial (art. 3412 y 3413) continúa la persona del difunto y es propietario, acreedor o deudor de todo lo que el difunto lo era, salvo los derechos intransmisibles por sucesión. Por ello, autorizada doctrina reconoce "de ahí que asista al heredero la facultad de reivindicar en su calidad de sucesor del propietario de la cosa reivindicada " (B ueres - Highton, Código Civil, t. 5 B, 2ª ed. Hammurabi, Bs.As., 2004, p.519; ídem, Lopez Mesa, ob y t. cit, p. 496). </w:t>
      </w:r>
    </w:p>
    <w:p>
      <w:pPr>
        <w:pStyle w:val="[Normal]"/>
        <w:spacing w:line="360" w:lineRule="auto"/>
        <w:ind w:firstLine="1134"/>
        <w:jc w:val="both"/>
        <w:rPr>
          <w:lang w:val="es-AR" w:eastAsia="es-AR" w:bidi="es-AR"/>
        </w:rPr>
      </w:pPr>
      <w:r>
        <w:rPr>
          <w:lang w:val="es-AR" w:eastAsia="es-AR" w:bidi="es-AR"/>
        </w:rPr>
        <w:t xml:space="preserve">En igual sentido, la jurisprudencia ha sostenido "incluso pueden intentar la acción reivindicatoria, aún antes de haber tomado de hecho posesión de los objetos hereditarios, sin estar obligados a dar otras pruebas que las que se podrían exigir al difunto" ( C.Civ. 1ª. Capital, 14-9-38, LL. 11-1184, cit. por Ferrer - Medina, Código Civil, T VII, cit, p. 875).</w:t>
      </w:r>
    </w:p>
    <w:p>
      <w:pPr>
        <w:pStyle w:val="[Normal]"/>
        <w:spacing w:line="360" w:lineRule="auto"/>
        <w:ind w:firstLine="1134"/>
        <w:jc w:val="both"/>
        <w:rPr>
          <w:lang w:val="es-AR" w:eastAsia="es-AR" w:bidi="es-AR"/>
        </w:rPr>
      </w:pPr>
      <w:r>
        <w:rPr>
          <w:lang w:val="es-AR" w:eastAsia="es-AR" w:bidi="es-AR"/>
        </w:rPr>
        <w:t xml:space="preserve">El fundamento para reconocer al heredero la potestad de reivindicar está dado porque "sucede a su antecesor en todos los derechos que tenía respecto de la cosa, entre los que se encuentra la reivindicación contra terceros". (Cam. 1ª Civil. y Com. Córdoba, 6/8/91, LLC, 1992-349).</w:t>
      </w:r>
    </w:p>
    <w:p>
      <w:pPr>
        <w:pStyle w:val="[Normal]"/>
        <w:spacing w:line="360" w:lineRule="auto"/>
        <w:ind w:firstLine="1134"/>
        <w:jc w:val="both"/>
        <w:rPr>
          <w:lang w:val="es-AR" w:eastAsia="es-AR" w:bidi="es-AR"/>
        </w:rPr>
      </w:pPr>
      <w:r>
        <w:rPr>
          <w:lang w:val="es-AR" w:eastAsia="es-AR" w:bidi="es-AR"/>
        </w:rPr>
        <w:t xml:space="preserve">"Es decir que el heredero que ha entrado automáticamente en posesión de la herencia o que ha sido puesto en ella por el juez competente, continúa la persona del difunto y es propietario, acreedor o deudor, sucediéndolo en la propiedad y posesión de las cosas que detentara el de cujus. A partir de allí también se legitima para el ejercicio de las acciones concernientes a los bienes hereditarios" ( C.Apel. Civil. San Martín, Sala II, 14/09/99, el Dial-W12777). Consecuente con lo expuesto, por ser continuador de la persona del difunto y hallarse investido de posesión hereditaria, no puede negarse la legitimación del actor para reivindicar el bien en cuestión...." ( cfr. en tal sentido CApel. Corrientes en autos "Yaya  Rodolfo Omar c/ Saul  Humberto Vigo y/o  Contra  Todo Otro Ocupante s/ Reivindicación  (Ordinario )", Expte N° 865/10 ).</w:t>
      </w:r>
    </w:p>
    <w:p>
      <w:pPr>
        <w:pStyle w:val="[Normal]"/>
        <w:spacing w:line="360" w:lineRule="auto"/>
        <w:ind w:firstLine="1134"/>
        <w:jc w:val="both"/>
        <w:rPr>
          <w:lang w:val="es-AR" w:eastAsia="es-AR" w:bidi="es-AR"/>
        </w:rPr>
      </w:pPr>
      <w:r>
        <w:rPr>
          <w:lang w:val="es-AR" w:eastAsia="es-AR" w:bidi="es-AR"/>
        </w:rPr>
        <w:t xml:space="preserve">El primer requisito para tener legitimación para obrar en la acción reivindicatoria lo constituye la propiedad de la cosa por parte del reivindicante, pero propiedad en el sentido de dueño del derecho real de dominio, ya que tal acción solo está concedida para proteger los derechos reales.</w:t>
      </w:r>
    </w:p>
    <w:p>
      <w:pPr>
        <w:pStyle w:val="[Normal]"/>
        <w:spacing w:line="360" w:lineRule="auto"/>
        <w:ind w:firstLine="1134"/>
        <w:jc w:val="both"/>
        <w:rPr>
          <w:lang w:val="es-AR" w:eastAsia="es-AR" w:bidi="es-AR"/>
        </w:rPr>
      </w:pPr>
      <w:r>
        <w:rPr>
          <w:lang w:val="es-AR" w:eastAsia="es-AR" w:bidi="es-AR"/>
        </w:rPr>
        <w:t xml:space="preserve">Por otro lado cabe decir que el proceso sucesorio tiene por objeto identificar a los sucesores, determinar el contenido de la herencia, cobrar los créditos, pagar las deudas, legados y cargas, rendir cuentas y entregar los bienes. ( art. 2335 C.C.C.). Y, cumplidos el plazo y los trámites a que se refieren los artículos 724 y 734 y acreditado el derecho de lo sucesores, el Juez dictará Declaratoria de Herederos.</w:t>
      </w:r>
    </w:p>
    <w:p>
      <w:pPr>
        <w:pStyle w:val="[Normal]"/>
        <w:spacing w:line="360" w:lineRule="auto"/>
        <w:ind w:firstLine="1134"/>
        <w:jc w:val="both"/>
        <w:rPr>
          <w:lang w:val="es-AR" w:eastAsia="es-AR" w:bidi="es-AR"/>
        </w:rPr>
      </w:pPr>
      <w:r>
        <w:rPr>
          <w:lang w:val="es-AR" w:eastAsia="es-AR" w:bidi="es-AR"/>
        </w:rPr>
        <w:t xml:space="preserve">La declaratoria de herederos implica fundamentalmente el reconocimiento de la condición o calidad de heredero y la exteriorización de la comunidad hereditaria, otorgándoles un título que justifica su vocación a la herencia; con lo cual pone en posesión de la misma a los herederos.</w:t>
      </w:r>
    </w:p>
    <w:p>
      <w:pPr>
        <w:pStyle w:val="[Normal]"/>
        <w:spacing w:line="360" w:lineRule="auto"/>
        <w:ind w:firstLine="1134"/>
        <w:jc w:val="both"/>
        <w:rPr>
          <w:lang w:val="es-AR" w:eastAsia="es-AR" w:bidi="es-AR"/>
        </w:rPr>
      </w:pPr>
      <w:r>
        <w:rPr>
          <w:lang w:val="es-AR" w:eastAsia="es-AR" w:bidi="es-AR"/>
        </w:rPr>
        <w:t xml:space="preserve">La sentencia que declara (naturaleza declarativa) herederos a quienes se presentaron es un medio de publicidad limitado a los que tengan un interés legítimo y acceso a la sucesión. La declaratoria de herederos es un documento que se registra con el objetivo indudable de la publicidad y oponibilidad a terceros.</w:t>
      </w:r>
    </w:p>
    <w:p>
      <w:pPr>
        <w:pStyle w:val="[Normal]"/>
        <w:spacing w:line="360" w:lineRule="auto"/>
        <w:ind w:firstLine="1134"/>
        <w:jc w:val="both"/>
        <w:rPr>
          <w:lang w:val="es-AR" w:eastAsia="es-AR" w:bidi="es-AR"/>
        </w:rPr>
      </w:pPr>
      <w:r>
        <w:rPr>
          <w:lang w:val="es-AR" w:eastAsia="es-AR" w:bidi="es-AR"/>
        </w:rPr>
        <w:t xml:space="preserve">La inscripción de la declaratoria de herederos en los registros con relación a un bien inmueble, solo publicita frente a terceros la muerte del titular registral, sus sucesores y el estado de indivisión hereditaria, sin producir otro efecto. ( cfr. en tal sentido Colegio de  Escribanos de la Provincia de  Cordoba  Revista  Notarial  1996 - 2 Nro. 72  La Declaratoria de Herederos  Auto Aprobatorio del Testamento. Inscripción  Registral  y Transmisión de  Bienes por Lilian Graciela Steremberg ).</w:t>
      </w:r>
    </w:p>
    <w:p>
      <w:pPr>
        <w:pStyle w:val="[Normal]"/>
        <w:spacing w:line="360" w:lineRule="auto"/>
        <w:ind w:firstLine="1134"/>
        <w:jc w:val="both"/>
        <w:rPr>
          <w:lang w:val="es-AR" w:eastAsia="es-AR" w:bidi="es-AR"/>
        </w:rPr>
      </w:pPr>
      <w:r>
        <w:rPr>
          <w:lang w:val="es-AR" w:eastAsia="es-AR" w:bidi="es-AR"/>
        </w:rPr>
        <w:t xml:space="preserve">A ello, se ha dicho que "... A los fines de resolver la cuestión materia de recurso deviene necesario precisar que el hecho de que la declaratoria de herederos sea inscripta en el Registro de la Propiedad no altera su intrínseca naturaleza, cual es la de constituir el título hereditario oponible erga omnes que acredita ser heredero de quien figura como titular registral del inmueble. Pero nada más pues la declaratoria por si sola ni constituye, ni transmite, ni declara ni modifica derechos reales sobre inmuebles. Su valor declarativo se limita al título que acredita la vocación, el llamamiento hereditario. Es verdad que esa inscripción debe hacerse para el supuesto en que los herederos declarados, en conjunto, pretendiesen disponer del inmueble, a los fines de preservar la continuidad de tracto (conf. Zannoni, Eduardo, Tratado de las sucesiones, t. I, p. 565, § 539, 4ta ed., Ed. Astrea, 2001; citado también por C. Civil y Com. San Isidro, Sala I, 8/9/998, S.,Hs/suc. LLBA 1999,p. 972). Por ello, la mera inscripción de la declaratoria en el Registro de la Propiedad no implica adjudicación de los inmuebles en condominio, sino simplemente exteriorización de la indivisión hereditaria o postcomunitaria, en su caso, publicidad y medio de oponibilidad de ella a terceros (conf. CNCiv., Sala C, del 6/8/74 Aubone c/ Aubone, JA 27-215 y su nota: Indivisión postcomunitaria y comunidad hereditaria: su coexistencia e implicancias).</w:t>
      </w:r>
    </w:p>
    <w:p>
      <w:pPr>
        <w:pStyle w:val="[Normal]"/>
        <w:spacing w:line="360" w:lineRule="auto"/>
        <w:ind w:firstLine="1134"/>
        <w:jc w:val="both"/>
        <w:rPr>
          <w:lang w:val="es-AR" w:eastAsia="es-AR" w:bidi="es-AR"/>
        </w:rPr>
      </w:pPr>
      <w:r>
        <w:rPr>
          <w:lang w:val="es-AR" w:eastAsia="es-AR" w:bidi="es-AR"/>
        </w:rPr>
        <w:t xml:space="preserve">De lo expuesto hasta aquí dócilmente se advierte, que no se halla discutida la calidad de heredero del actor de autos, que surge de la sentencia de declaratoria de herederos y es el carácter de tal, que lo legitima para el inicio de la acción real de reivindicación, no siendo un requisito la inscripción registral de la sentencia que solamente tiene un efecto de publicidad del estado de indivisión hereditaria o postcomunitaria, en su caso, publicidad y medio de oponibilidad de ella a terceros.</w:t>
      </w:r>
    </w:p>
    <w:p>
      <w:pPr>
        <w:pStyle w:val="[Normal]"/>
        <w:spacing w:line="360" w:lineRule="auto"/>
        <w:ind w:firstLine="1134"/>
        <w:jc w:val="both"/>
        <w:rPr>
          <w:lang w:val="es-AR" w:eastAsia="es-AR" w:bidi="es-AR"/>
        </w:rPr>
      </w:pPr>
      <w:r>
        <w:rPr>
          <w:lang w:val="es-AR" w:eastAsia="es-AR" w:bidi="es-AR"/>
        </w:rPr>
        <w:t xml:space="preserve">Es decir,  la inscripción registral no es un elemento constitutivo del carácter de herederos y con ello el ejercicio de los  derechos a los que accede en tal calidad, solamente da publicidad del estado del bien frente a terceros por lo que este segmento del agravio no es recibido.</w:t>
      </w:r>
    </w:p>
    <w:p>
      <w:pPr>
        <w:pStyle w:val="[Normal]"/>
        <w:spacing w:line="360" w:lineRule="auto"/>
        <w:ind w:firstLine="1134"/>
        <w:jc w:val="both"/>
        <w:rPr>
          <w:lang w:val="es-AR" w:eastAsia="es-AR" w:bidi="es-AR"/>
        </w:rPr>
      </w:pPr>
      <w:r>
        <w:rPr>
          <w:lang w:val="es-AR" w:eastAsia="es-AR" w:bidi="es-AR"/>
        </w:rPr>
        <w:t xml:space="preserve">Tampoco lleva suerte el segundo</w:t>
      </w:r>
      <w:r>
        <w:rPr>
          <w:b/>
          <w:lang w:val="es-AR" w:eastAsia="es-AR" w:bidi="es-AR"/>
        </w:rPr>
        <w:t xml:space="preserve"> </w:t>
      </w:r>
      <w:r>
        <w:rPr>
          <w:lang w:val="es-AR" w:eastAsia="es-AR" w:bidi="es-AR"/>
        </w:rPr>
        <w:t xml:space="preserve">de los cuestionamientos al fallo dirigido a la pérdida de la  posesión por parte del heredero para poder iniciar las presentes siendo ello un requisito indispensable.</w:t>
      </w:r>
    </w:p>
    <w:p>
      <w:pPr>
        <w:pStyle w:val="[Normal]"/>
        <w:spacing w:line="360" w:lineRule="auto"/>
        <w:ind w:firstLine="1134"/>
        <w:jc w:val="both"/>
        <w:rPr>
          <w:lang w:val="es-AR" w:eastAsia="es-AR" w:bidi="es-AR"/>
        </w:rPr>
      </w:pPr>
      <w:r>
        <w:rPr>
          <w:lang w:val="es-AR" w:eastAsia="es-AR" w:bidi="es-AR"/>
        </w:rPr>
        <w:t xml:space="preserve">Ello, no es así y a todo evento cabe decir que no se halla discutido en autos, que la causante Petrona Elodia Pezzi no haya detentado la posesión y con ello basta para desestimar el agravio toda vez que el actor heredero sucede al causante en todos sus derechos.</w:t>
      </w:r>
    </w:p>
    <w:p>
      <w:pPr>
        <w:pStyle w:val="[Normal]"/>
        <w:spacing w:line="360" w:lineRule="auto"/>
        <w:ind w:firstLine="1134"/>
        <w:jc w:val="both"/>
        <w:rPr>
          <w:lang w:val="es-AR" w:eastAsia="es-AR" w:bidi="es-AR"/>
        </w:rPr>
      </w:pPr>
      <w:r>
        <w:rPr>
          <w:lang w:val="es-AR" w:eastAsia="es-AR" w:bidi="es-AR"/>
        </w:rPr>
        <w:t xml:space="preserve">Sin perjuicio de ello, como se da en la especie, se ha dicho "...  En el caso de autos el accionante manifiesta detentar la titularidad  inmueble que ahora reivindica como consecuencia de la declaratoria de herederos dictada en autos" Fernández Marcelino, Schiavo Rosarito s/ sucesión ab intestato " donde ha sido declarado único y universal heredero, se ha decidido al respecto que El Código Civil al exigir al reivindicante la presentación del título que acredite el derecho a poseer, se refiere a la causa en que se funda el derecho de dominio y no al título en sentencia documental o formal, por lo cual constituye título la declaratoria de herederos mediante el cual quién invoca el dominio acredita haberlo adquirido por sucesión de su titular..." ("Zapatella Elida Agustina c/ Silva Teresa y/o quien resulte ocupante s/ Reivindicación" - CC0100 - SN 940527 RSD-274-94 S - 6-12-1994 : DJBA 149, 105 elDial - WBF49).</w:t>
      </w:r>
    </w:p>
    <w:p>
      <w:pPr>
        <w:pStyle w:val="[Normal]"/>
        <w:spacing w:line="360" w:lineRule="auto"/>
        <w:ind w:firstLine="1134"/>
        <w:jc w:val="both"/>
        <w:rPr>
          <w:lang w:val="es-AR" w:eastAsia="es-AR" w:bidi="es-AR"/>
        </w:rPr>
      </w:pPr>
      <w:r>
        <w:rPr>
          <w:lang w:val="es-AR" w:eastAsia="es-AR" w:bidi="es-AR"/>
        </w:rPr>
        <w:t xml:space="preserve">Nuestro Máximo Tribunal Provincial, se pronunció en sentido que El Código Civil al exigir al reivindicante la presentación del título que acredite su derecho a poseer, se refiere a la causa en que se funda el derecho de dominio y no el título en sentido documental o formal (conf. SCBA, Ac. 34.877, sent. del 8-X-1985 en AyS 1985-III-94; ).</w:t>
      </w:r>
    </w:p>
    <w:p>
      <w:pPr>
        <w:pStyle w:val="[Normal]"/>
        <w:spacing w:line="360" w:lineRule="auto"/>
        <w:ind w:firstLine="1134"/>
        <w:jc w:val="both"/>
        <w:rPr>
          <w:lang w:val="es-AR" w:eastAsia="es-AR" w:bidi="es-AR"/>
        </w:rPr>
      </w:pPr>
      <w:r>
        <w:rPr>
          <w:b/>
          <w:lang w:val="es-AR" w:eastAsia="es-AR" w:bidi="es-AR"/>
        </w:rPr>
        <w:t xml:space="preserve">b )</w:t>
      </w:r>
      <w:r>
        <w:rPr>
          <w:lang w:val="es-AR" w:eastAsia="es-AR" w:bidi="es-AR"/>
        </w:rPr>
        <w:t xml:space="preserve"> Ahora bien en tarea de decidir en punto al agravio de la parte actora por la desestimación del daño en concepto de privación de uso, para lo cual estima el monto del alquiler mensual en la suma de $ 5.000.</w:t>
      </w:r>
    </w:p>
    <w:p>
      <w:pPr>
        <w:pStyle w:val="[Normal]"/>
        <w:spacing w:line="360" w:lineRule="auto"/>
        <w:ind w:firstLine="1134"/>
        <w:jc w:val="both"/>
        <w:rPr>
          <w:lang w:val="es-AR" w:eastAsia="es-AR" w:bidi="es-AR"/>
        </w:rPr>
      </w:pPr>
      <w:r>
        <w:rPr>
          <w:lang w:val="es-AR" w:eastAsia="es-AR" w:bidi="es-AR"/>
        </w:rPr>
        <w:t xml:space="preserve">En materia de daños, es sabido que el principio que campea es que para que el daño sea resarcible, requiere que sea real, cierto, efectivo y no meramente hipotético.</w:t>
      </w:r>
    </w:p>
    <w:p>
      <w:pPr>
        <w:pStyle w:val="[Normal]"/>
        <w:spacing w:line="360" w:lineRule="auto"/>
        <w:ind w:firstLine="1134"/>
        <w:jc w:val="both"/>
        <w:rPr>
          <w:lang w:val="es-AR" w:eastAsia="es-AR" w:bidi="es-AR"/>
        </w:rPr>
      </w:pPr>
      <w:r>
        <w:rPr>
          <w:lang w:val="es-AR" w:eastAsia="es-AR" w:bidi="es-AR"/>
        </w:rPr>
        <w:t xml:space="preserve">Nuestra Corte Provincial, consideró al rubro privación de uso, como daño que requiere de prueba y si bien lo refirió al reclamo por un automotor, es igualmente aplicable al caso de la vivienda porque la noción es la misma, el impedimento del uso de un bien y al efecto dijo que "... La privación del uso del automotor no escapa a la regla de que todo daño debe ser probado, ni constituye un supuesto de daño </w:t>
      </w:r>
      <w:r>
        <w:rPr>
          <w:i/>
          <w:lang w:val="es-AR" w:eastAsia="es-AR" w:bidi="es-AR"/>
        </w:rPr>
        <w:t xml:space="preserve">"in re ipsa"</w:t>
      </w:r>
      <w:r>
        <w:rPr>
          <w:lang w:val="es-AR" w:eastAsia="es-AR" w:bidi="es-AR"/>
        </w:rPr>
        <w:t xml:space="preserve">, por lo que quien reclama por este rubro debe probar que efectivamente esa privación le ocasionó un perjuicio..." ( SCBA. Ac. 44760, siguiendo el mismo lineamiento CAP: 3954 ).</w:t>
      </w:r>
    </w:p>
    <w:p>
      <w:pPr>
        <w:pStyle w:val="[Normal]"/>
        <w:spacing w:line="360" w:lineRule="auto"/>
        <w:ind w:firstLine="1134"/>
        <w:jc w:val="both"/>
        <w:rPr>
          <w:lang w:val="es-AR" w:eastAsia="es-AR" w:bidi="es-AR"/>
        </w:rPr>
      </w:pPr>
      <w:r>
        <w:rPr>
          <w:lang w:val="es-AR" w:eastAsia="es-AR" w:bidi="es-AR"/>
        </w:rPr>
        <w:t xml:space="preserve">En autos, solamente se estimó el valor de un alquiler mensual, pero nada se dice con apoyo de un Perito Martillero, del estado del bien, las reales posibilidades de la locación de acuerdo al lugar donde se halla la finca, el canon mensual al cual podría arribar. Es decir, había que probar ( art. 375 CPC.) y no dejar librado a la sana crítica no solo el valor locativo sino la real posibilidad de una locación, por lo cual se desestima la queja.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w:t>
      </w:r>
      <w:r>
        <w:rPr>
          <w:color w:val="000000"/>
          <w:lang w:val="es-AR" w:eastAsia="es-AR" w:bidi="es-AR"/>
        </w:rPr>
        <w:t xml:space="preserve"> Graciela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los recursos de apelación interpuestos por las partes y en consecuencia confirmar en un todo la sentencia apelada. Las costas se imponen a la demandada perdidosa ( art. 68 CPC.) y difiero la regulación de los honorarios de los letrados intervinientes para el momento procesal oportuno ( arts. 31 y 51 de la ley 8904 ).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w:t>
      </w:r>
      <w:r>
        <w:rPr>
          <w:color w:val="000000"/>
          <w:lang w:val="es-AR" w:eastAsia="es-AR" w:bidi="es-AR"/>
        </w:rPr>
        <w:t xml:space="preserve"> Graciela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los recursos de apelación interpuestos por las partes y en consecuencia confirmar en un todo la sentencia apelada. Las costas se imponen a la demandada perdidosa  ( art. 68 CPC.) y difiero la regulación de los honorarios de los letrados intervinientes para el momento procesal oportuno ( arts. 31 y 51 de la ley 8904 ).</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10:03:27 -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10:08:36 -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11:04:47 -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‰5w")è%èC!KŠ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218702090005003501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‰5w")è%èC!KŠ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218702090005003501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