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163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1055/1060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4038-20</w:t>
      </w:r>
      <w:r>
        <w:rPr>
          <w:lang w:val="es-AR" w:eastAsia="es-AR" w:bidi="es-AR"/>
        </w:rPr>
        <w:t xml:space="preserve"> caratulada </w:t>
      </w:r>
      <w:r>
        <w:rPr>
          <w:b/>
          <w:lang w:val="es-AR" w:eastAsia="es-AR" w:bidi="es-AR"/>
        </w:rPr>
        <w:t xml:space="preserve">"</w:t>
      </w:r>
      <w:r>
        <w:rPr>
          <w:b/>
          <w:color w:val="000000"/>
          <w:lang w:val="es-AR" w:eastAsia="es-AR" w:bidi="es-AR"/>
        </w:rPr>
        <w:t xml:space="preserve">EMPORIO DIME S.R.L. C/ ANNAN MARCELA ALEJANDRA Y OTRO/A S/ COBRO EJECUTICO (12)</w:t>
      </w:r>
      <w:r>
        <w:rPr>
          <w:b/>
          <w:lang w:val="es-AR" w:eastAsia="es-AR" w:bidi="es-AR"/>
        </w:rPr>
        <w:t xml:space="preserve">"</w:t>
      </w:r>
      <w:r>
        <w:rPr>
          <w:lang w:val="es-AR" w:eastAsia="es-AR" w:bidi="es-AR"/>
        </w:rPr>
        <w:t xml:space="preserve">, Expte. N° </w:t>
      </w:r>
      <w:r>
        <w:rPr>
          <w:color w:val="000000"/>
          <w:lang w:val="es-AR" w:eastAsia="es-AR" w:bidi="es-AR"/>
        </w:rPr>
        <w:t xml:space="preserve">74209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 </w:t>
      </w:r>
      <w:r>
        <w:rPr>
          <w:lang w:val="es-AR" w:eastAsia="es-AR" w:bidi="es-AR"/>
        </w:rPr>
        <w:t xml:space="preserve">se practicó el sorteo de ley que determinó que la votación debía efectuarse en el siguiente orden: </w:t>
      </w:r>
      <w:r>
        <w:rPr>
          <w:color w:val="000000"/>
          <w:lang w:val="es-AR" w:eastAsia="es-AR" w:bidi="es-AR"/>
        </w:rPr>
        <w:t xml:space="preserve">Bernardo Louise, Graciela Scaraffia y Roberto M. Degleue</w:t>
      </w:r>
      <w:r>
        <w:rPr>
          <w:lang w:val="es-AR" w:eastAsia="es-AR" w:bidi="es-AR"/>
        </w:rPr>
        <w:t xml:space="preserve"> (éste último ausente en el presente acuerdo por gozar de licencia médica)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Sr. Juez Bernardo Louise dijo:</w:t>
      </w:r>
    </w:p>
    <w:p>
      <w:pPr>
        <w:pStyle w:val="[Normal]"/>
        <w:spacing w:line="360" w:lineRule="auto"/>
        <w:ind w:firstLine="1134"/>
        <w:jc w:val="both"/>
        <w:rPr>
          <w:lang w:val="es-AR" w:eastAsia="es-AR" w:bidi="es-AR"/>
        </w:rPr>
      </w:pPr>
      <w:r>
        <w:rPr>
          <w:lang w:val="es-AR" w:eastAsia="es-AR" w:bidi="es-AR"/>
        </w:rPr>
        <w:t xml:space="preserve">El Sr. juez de grado dictó sentencia y resolvió: Rechazar las excepciones de inhabilidad de título opuestas y mandó  llevar adelante la ejecución, hasta tanto las coejecutadas MARCELA ALEJANDRA ANNAN Y VERÓNICA LETICIA ANNAN hagan al actor EMPORIO DIME SRL, íntegro pago del capital reclamado, de PESOS DOSCIENTOS TREINTA Y UN MIL TRESCIENTOS NOVENTA Y SEIS CON 37/100 ( $ 231.396,37 ), con más sus intereses calculados conforme a la tasa que percibe el Banco de la Nación Argentina, en la fecha de pago, en sus operaciones de descuento (tasa activa) a partir de la fecha de la mora: 26/01/2016. Le impuso las costas de la ejecución (art. 68 y 556 del CPC) y difirió la regulación de honorarios de los profesionales y de la mediadora interviniente, hasta tanto obre en autos liquidación firme (art. 51 de la ley 14.967). </w:t>
      </w:r>
    </w:p>
    <w:p>
      <w:pPr>
        <w:pStyle w:val="[Normal]"/>
        <w:spacing w:line="360" w:lineRule="auto"/>
        <w:ind w:firstLine="1134"/>
        <w:jc w:val="both"/>
        <w:rPr>
          <w:lang w:val="es-AR" w:eastAsia="es-AR" w:bidi="es-AR"/>
        </w:rPr>
      </w:pPr>
      <w:r>
        <w:rPr>
          <w:lang w:val="es-AR" w:eastAsia="es-AR" w:bidi="es-AR"/>
        </w:rPr>
        <w:t xml:space="preserve">Lo decidido motivó el recurso de apelación interpuesto por la apoderada de la coejecutada Verónica L. Annan por medio electrónico de fecha 05/05/2020 y concedido el mismo, el memorial es allegado en fecha 15/05/2020, que fue respondido por el mismo medio en fecha 29/05/2020. En fecha 29 de Septiembre de 2020 se llaman los autos para resolver, resolución que firme a la fecha deja a la causa en condiciones de ser fallada.</w:t>
      </w:r>
    </w:p>
    <w:p>
      <w:pPr>
        <w:pStyle w:val="[Normal]"/>
        <w:spacing w:line="360" w:lineRule="auto"/>
        <w:ind w:firstLine="1134"/>
        <w:jc w:val="both"/>
        <w:rPr>
          <w:b/>
          <w:lang w:val="es-AR" w:eastAsia="es-AR" w:bidi="es-AR"/>
        </w:rPr>
      </w:pPr>
      <w:r>
        <w:rPr>
          <w:b/>
          <w:lang w:val="es-AR" w:eastAsia="es-AR" w:bidi="es-AR"/>
        </w:rPr>
        <w:t xml:space="preserve">Agravios:</w:t>
      </w:r>
    </w:p>
    <w:p>
      <w:pPr>
        <w:pStyle w:val="[Normal]"/>
        <w:spacing w:line="360" w:lineRule="auto"/>
        <w:ind w:firstLine="1134"/>
        <w:jc w:val="both"/>
        <w:rPr>
          <w:lang w:val="es-AR" w:eastAsia="es-AR" w:bidi="es-AR"/>
        </w:rPr>
      </w:pPr>
      <w:r>
        <w:rPr>
          <w:b/>
          <w:lang w:val="es-AR" w:eastAsia="es-AR" w:bidi="es-AR"/>
        </w:rPr>
        <w:t xml:space="preserve">1 )</w:t>
      </w:r>
      <w:r>
        <w:rPr>
          <w:lang w:val="es-AR" w:eastAsia="es-AR" w:bidi="es-AR"/>
        </w:rPr>
        <w:t xml:space="preserve"> Se alza la apelante contra el fallo que desestimó la defensa de inhabilidad de título opuesta, por cuanto el Sr. juez de la instancia primera tuvo por válido el procedimiento previsto en el art. 1440 inc. 2 del C.C.C. y no tuvo en cuenta que los instrumentos acompañados no traen aparejada la ejecución.</w:t>
      </w:r>
    </w:p>
    <w:p>
      <w:pPr>
        <w:pStyle w:val="[Normal]"/>
        <w:spacing w:line="360" w:lineRule="auto"/>
        <w:ind w:firstLine="1134"/>
        <w:jc w:val="both"/>
        <w:rPr>
          <w:lang w:val="es-AR" w:eastAsia="es-AR" w:bidi="es-AR"/>
        </w:rPr>
      </w:pPr>
      <w:r>
        <w:rPr>
          <w:lang w:val="es-AR" w:eastAsia="es-AR" w:bidi="es-AR"/>
        </w:rPr>
        <w:t xml:space="preserve">Dice que oportunamente se desconoció la deuda, como la documentación de la que emana el saldo deudor por cuanto no se basó  en los libros de comercio y por ello la improcedencia de la vía ejecutiva.</w:t>
      </w:r>
    </w:p>
    <w:p>
      <w:pPr>
        <w:pStyle w:val="[Normal]"/>
        <w:spacing w:line="360" w:lineRule="auto"/>
        <w:ind w:firstLine="1134"/>
        <w:jc w:val="both"/>
        <w:rPr>
          <w:lang w:val="es-AR" w:eastAsia="es-AR" w:bidi="es-AR"/>
        </w:rPr>
      </w:pPr>
      <w:r>
        <w:rPr>
          <w:lang w:val="es-AR" w:eastAsia="es-AR" w:bidi="es-AR"/>
        </w:rPr>
        <w:t xml:space="preserve"> Expresa, que la certificación contable realizada no es idónea para acreditar la existencia de una cuenta corriente mercantil  y un saldo deudor e incluso que no reúne los requisitos formales y que como no existió cuenta corriente en los términos del art. 1430 C.C.C., el título es inhábil.</w:t>
      </w:r>
    </w:p>
    <w:p>
      <w:pPr>
        <w:pStyle w:val="[Normal]"/>
        <w:spacing w:line="360" w:lineRule="auto"/>
        <w:ind w:firstLine="1134"/>
        <w:jc w:val="both"/>
        <w:rPr>
          <w:lang w:val="es-AR" w:eastAsia="es-AR" w:bidi="es-AR"/>
        </w:rPr>
      </w:pPr>
      <w:r>
        <w:rPr>
          <w:lang w:val="es-AR" w:eastAsia="es-AR" w:bidi="es-AR"/>
        </w:rPr>
        <w:t xml:space="preserve">Sigue manifestando que la certificación contable debe ser realizada sobre los libros de comercio llevados en debida forma y no sobre el Libro IVA como se hizo y este argumento fue omitido en sentencia.</w:t>
      </w:r>
    </w:p>
    <w:p>
      <w:pPr>
        <w:pStyle w:val="[Normal]"/>
        <w:spacing w:line="360" w:lineRule="auto"/>
        <w:ind w:firstLine="1134"/>
        <w:jc w:val="both"/>
        <w:rPr>
          <w:lang w:val="es-AR" w:eastAsia="es-AR" w:bidi="es-AR"/>
        </w:rPr>
      </w:pPr>
      <w:r>
        <w:rPr>
          <w:lang w:val="es-AR" w:eastAsia="es-AR" w:bidi="es-AR"/>
        </w:rPr>
        <w:t xml:space="preserve">Agrega a ello, que es imprescindible acreditar la existencia de la cuenta corriente mercantil (art. 1440 C.C.C.) y el análisis del Contador realizado sobre la totalidad de las operatorias las que solo pueden surgir de los libros de comercio (art. 322 C.C.C.) y a ello como al  valor probatorio de los libros lo apoya en citas de jurisprudencia y doctrina por lo que entiende que la certificación acompañada no es idónea.</w:t>
      </w:r>
    </w:p>
    <w:p>
      <w:pPr>
        <w:pStyle w:val="[Normal]"/>
        <w:spacing w:line="360" w:lineRule="auto"/>
        <w:ind w:firstLine="1134"/>
        <w:jc w:val="both"/>
        <w:rPr>
          <w:lang w:val="es-AR" w:eastAsia="es-AR" w:bidi="es-AR"/>
        </w:rPr>
      </w:pPr>
      <w:r>
        <w:rPr>
          <w:lang w:val="es-AR" w:eastAsia="es-AR" w:bidi="es-AR"/>
        </w:rPr>
        <w:t xml:space="preserve">Dice que la inexistencia de la cuenta corriente se advierte claramente de las misivas remitidas por el actor, cuando intimaba el pago del saldo por compraventa de mercadería conforme facturas y remitos y ello es lo contrario a la naturaleza del contrato de compraventa mercantil y por eso le es aplicable también la contradicción en que incurre el actor con su conducta jurídicamente relevante.</w:t>
      </w:r>
    </w:p>
    <w:p>
      <w:pPr>
        <w:pStyle w:val="[Normal]"/>
        <w:spacing w:line="360" w:lineRule="auto"/>
        <w:ind w:firstLine="1134"/>
        <w:jc w:val="both"/>
        <w:rPr>
          <w:lang w:val="es-AR" w:eastAsia="es-AR" w:bidi="es-AR"/>
        </w:rPr>
      </w:pPr>
      <w:r>
        <w:rPr>
          <w:lang w:val="es-AR" w:eastAsia="es-AR" w:bidi="es-AR"/>
        </w:rPr>
        <w:t xml:space="preserve">Detalla la naturaleza de la cuenta corriente mercantil y la distingue de las llamadas cuentas simples o de gestión e insiste en la inexistencia de la primera por lo que no el título resulta inhábil.</w:t>
      </w:r>
    </w:p>
    <w:p>
      <w:pPr>
        <w:pStyle w:val="[Normal]"/>
        <w:spacing w:line="360" w:lineRule="auto"/>
        <w:ind w:firstLine="1134"/>
        <w:jc w:val="both"/>
        <w:rPr>
          <w:lang w:val="es-AR" w:eastAsia="es-AR" w:bidi="es-AR"/>
        </w:rPr>
      </w:pPr>
      <w:r>
        <w:rPr>
          <w:lang w:val="es-AR" w:eastAsia="es-AR" w:bidi="es-AR"/>
        </w:rPr>
        <w:t xml:space="preserve">Agrega también, que la diligencia notarial realizada no es fundamento para crear título por cuanto el art. 1440 C.C.C., establece que el certificado del saldo debe ser confeccionado por un Contado Público, que la actuación Notarial es a los fines de completar el título no para crearlo.</w:t>
      </w:r>
    </w:p>
    <w:p>
      <w:pPr>
        <w:pStyle w:val="[Normal]"/>
        <w:spacing w:line="360" w:lineRule="auto"/>
        <w:ind w:firstLine="1134"/>
        <w:jc w:val="both"/>
        <w:rPr>
          <w:lang w:val="es-AR" w:eastAsia="es-AR" w:bidi="es-AR"/>
        </w:rPr>
      </w:pPr>
      <w:r>
        <w:rPr>
          <w:lang w:val="es-AR" w:eastAsia="es-AR" w:bidi="es-AR"/>
        </w:rPr>
        <w:t xml:space="preserve">Aduna que la observancia y examen del título que la normativa impone al juez debía extremarse dado que el pretendido título emana del mismo acreedor y concluye que los documentos base de la ejecución no son hábiles para iniciar un juicio ejecutivo.</w:t>
      </w:r>
    </w:p>
    <w:p>
      <w:pPr>
        <w:pStyle w:val="[Normal]"/>
        <w:spacing w:line="360" w:lineRule="auto"/>
        <w:ind w:firstLine="1134"/>
        <w:jc w:val="both"/>
        <w:rPr>
          <w:lang w:val="es-AR" w:eastAsia="es-AR" w:bidi="es-AR"/>
        </w:rPr>
      </w:pPr>
      <w:r>
        <w:rPr>
          <w:lang w:val="es-AR" w:eastAsia="es-AR" w:bidi="es-AR"/>
        </w:rPr>
        <w:t xml:space="preserve">Impugna también los intereses y la fecha de la mora, así los primeros por que   la tasa activa  fijada no corresponde toda vez que al no haberse convenido intereses, ni estar fijados por la ley corresponde aplicar el art. 622 1er párrafo del C.C. y que los mismos no corren durante la operatoria y  se deben computar sobre el saldo.</w:t>
      </w:r>
    </w:p>
    <w:p>
      <w:pPr>
        <w:pStyle w:val="[Normal]"/>
        <w:spacing w:line="360" w:lineRule="auto"/>
        <w:ind w:firstLine="1134"/>
        <w:jc w:val="both"/>
        <w:rPr>
          <w:lang w:val="es-AR" w:eastAsia="es-AR" w:bidi="es-AR"/>
        </w:rPr>
      </w:pPr>
      <w:r>
        <w:rPr>
          <w:lang w:val="es-AR" w:eastAsia="es-AR" w:bidi="es-AR"/>
        </w:rPr>
        <w:t xml:space="preserve">La parte ejecutante al responder el memorial, desestima los argumentos y al efecto manifiesta que un requisito ineludible para que prospere la defensa, es negar la deuda y las formas extrínsecas del título.</w:t>
      </w:r>
    </w:p>
    <w:p>
      <w:pPr>
        <w:pStyle w:val="[Normal]"/>
        <w:spacing w:line="360" w:lineRule="auto"/>
        <w:ind w:firstLine="1134"/>
        <w:jc w:val="both"/>
        <w:rPr>
          <w:lang w:val="es-AR" w:eastAsia="es-AR" w:bidi="es-AR"/>
        </w:rPr>
      </w:pPr>
      <w:r>
        <w:rPr>
          <w:lang w:val="es-AR" w:eastAsia="es-AR" w:bidi="es-AR"/>
        </w:rPr>
        <w:t xml:space="preserve">Expresa que para discutir la causa de la obligación está previsto el juicio ordinario posterior y se explaya en relación a la falta de colaboración de la contraria que por los demás no planteó dentro de los diez días disconformidad alguna ante el escribano interviniente una vez que le fue presentada la cuenta.</w:t>
      </w:r>
    </w:p>
    <w:p>
      <w:pPr>
        <w:pStyle w:val="[Normal]"/>
        <w:spacing w:line="360" w:lineRule="auto"/>
        <w:ind w:firstLine="1134"/>
        <w:jc w:val="both"/>
        <w:rPr>
          <w:lang w:val="es-AR" w:eastAsia="es-AR" w:bidi="es-AR"/>
        </w:rPr>
      </w:pPr>
      <w:r>
        <w:rPr>
          <w:lang w:val="es-AR" w:eastAsia="es-AR" w:bidi="es-AR"/>
        </w:rPr>
        <w:t xml:space="preserve">Reitera la habilidad del título, que no fue observado en el plazo legal desde que se recepcionó el resumen para finalizar peticionando el rechazo de la apelación deducida con costas.</w:t>
      </w:r>
    </w:p>
    <w:p>
      <w:pPr>
        <w:pStyle w:val="[Normal]"/>
        <w:spacing w:line="360" w:lineRule="auto"/>
        <w:ind w:firstLine="1134"/>
        <w:jc w:val="both"/>
        <w:rPr>
          <w:lang w:val="es-AR" w:eastAsia="es-AR" w:bidi="es-AR"/>
        </w:rPr>
      </w:pPr>
      <w:r>
        <w:rPr>
          <w:b/>
          <w:lang w:val="es-AR" w:eastAsia="es-AR" w:bidi="es-AR"/>
        </w:rPr>
        <w:t xml:space="preserve">2 )</w:t>
      </w:r>
      <w:r>
        <w:rPr>
          <w:lang w:val="es-AR" w:eastAsia="es-AR" w:bidi="es-AR"/>
        </w:rPr>
        <w:t xml:space="preserve"> El recurso de apelación ha de recibirse.</w:t>
      </w:r>
    </w:p>
    <w:p>
      <w:pPr>
        <w:pStyle w:val="[Normal]"/>
        <w:spacing w:line="360" w:lineRule="auto"/>
        <w:ind w:firstLine="1134"/>
        <w:jc w:val="both"/>
        <w:rPr>
          <w:lang w:val="es-AR" w:eastAsia="es-AR" w:bidi="es-AR"/>
        </w:rPr>
      </w:pPr>
      <w:r>
        <w:rPr>
          <w:lang w:val="es-AR" w:eastAsia="es-AR" w:bidi="es-AR"/>
        </w:rPr>
        <w:t xml:space="preserve">La pretensión de inicio, es el cobro ejecutivo del saldo deudor de cuenta corriente N° 33 abierta a nombre de quien en vida fuera Leticia Cocilova y se agregan remitos de entrega de mercadería con sus facturas y guías de transporte.</w:t>
      </w:r>
    </w:p>
    <w:p>
      <w:pPr>
        <w:pStyle w:val="[Normal]"/>
        <w:spacing w:line="360" w:lineRule="auto"/>
        <w:ind w:firstLine="1134"/>
        <w:jc w:val="both"/>
        <w:rPr>
          <w:lang w:val="es-AR" w:eastAsia="es-AR" w:bidi="es-AR"/>
        </w:rPr>
      </w:pPr>
      <w:r>
        <w:rPr>
          <w:lang w:val="es-AR" w:eastAsia="es-AR" w:bidi="es-AR"/>
        </w:rPr>
        <w:t xml:space="preserve">El saldo deudor, es certificado por la Contadora Público Nacional Lydia Noemí Scotti y para llegar a tal conclusión la tarea profesional se basó en la observancia de: Copiador Libro IVA Ventas N° 2 y copias de facturas y notas de crédito.</w:t>
      </w:r>
    </w:p>
    <w:p>
      <w:pPr>
        <w:pStyle w:val="[Normal]"/>
        <w:spacing w:line="360" w:lineRule="auto"/>
        <w:ind w:firstLine="1134"/>
        <w:jc w:val="both"/>
        <w:rPr>
          <w:lang w:val="es-AR" w:eastAsia="es-AR" w:bidi="es-AR"/>
        </w:rPr>
      </w:pPr>
      <w:r>
        <w:rPr>
          <w:lang w:val="es-AR" w:eastAsia="es-AR" w:bidi="es-AR"/>
        </w:rPr>
        <w:t xml:space="preserve">Las coejecutadas Verónica Leticia y Marcela Alejandra Annan, son demandadas  en el carácter de herederas de la causante mencionada, quienes al oponer la defensa de inhabilidad de título desconocen la deuda.</w:t>
      </w:r>
    </w:p>
    <w:p>
      <w:pPr>
        <w:pStyle w:val="[Normal]"/>
        <w:spacing w:line="360" w:lineRule="auto"/>
        <w:ind w:firstLine="1134"/>
        <w:jc w:val="both"/>
        <w:rPr>
          <w:lang w:val="es-AR" w:eastAsia="es-AR" w:bidi="es-AR"/>
        </w:rPr>
      </w:pPr>
      <w:r>
        <w:rPr>
          <w:lang w:val="es-AR" w:eastAsia="es-AR" w:bidi="es-AR"/>
        </w:rPr>
        <w:t xml:space="preserve">Primeramente cabe decir que la parte actora, es una sociedad de responsabilidad limitada "Emporio DIME SRL." y de conformidad a lo normado por el artículo 320 del C.C.C., se halla obligada a llevar contabilidad. Obligación que la norma extiende a "... todas las personas jurídicas privadas y quienes realizan una actividad económica organizada o son titulares de una empresa o establecimiento comercial, industrial, agropecuario o de servicios. Cualquier otra persona puede llevar contabilidad si solicita su inscripción y la habilitación de sus registros o la rubricación de los libros, como se establece en esta misma Sección..." </w:t>
      </w:r>
    </w:p>
    <w:p>
      <w:pPr>
        <w:pStyle w:val="[Normal]"/>
        <w:spacing w:line="360" w:lineRule="auto"/>
        <w:ind w:firstLine="1134"/>
        <w:jc w:val="both"/>
        <w:rPr>
          <w:lang w:val="es-AR" w:eastAsia="es-AR" w:bidi="es-AR"/>
        </w:rPr>
      </w:pPr>
      <w:r>
        <w:rPr>
          <w:lang w:val="es-AR" w:eastAsia="es-AR" w:bidi="es-AR"/>
        </w:rPr>
        <w:t xml:space="preserve">Y, "...Las “personas jurídicas privadas (art.148 CCCN), que incluye tanto a las “sociedades”, que tienen fin de lucro, como a una serie de entidades sin fin de lucro, como son las asociaciones civiles, las simples asociaciones, las fundaciones, las iglesias, las mutuales, las cooperativas y el consorcio de propiedad horizontal. El fundamento de la exigencia contable debe buscarse, ora en su recurrencia habitual al crédito (sociedades), ora como una forma de rendición calificada de cuentas por la administración de intereses de terceros (los restantes casos)..." (cfr. Revista Digital del Consejo Profesional de Ciencias Economicas CABA, Dr. Eduardo M. Favier Dubois).</w:t>
      </w:r>
    </w:p>
    <w:p>
      <w:pPr>
        <w:pStyle w:val="[Normal]"/>
        <w:spacing w:line="360" w:lineRule="auto"/>
        <w:ind w:firstLine="1134"/>
        <w:jc w:val="both"/>
        <w:rPr>
          <w:lang w:val="es-AR" w:eastAsia="es-AR" w:bidi="es-AR"/>
        </w:rPr>
      </w:pPr>
      <w:r>
        <w:rPr>
          <w:lang w:val="es-AR" w:eastAsia="es-AR" w:bidi="es-AR"/>
        </w:rPr>
        <w:t xml:space="preserve">Que, la certificación contable sea realizada sobre la documentación Libro IVA Ventas, da cuenta que la obligación de llevar los libros de comercio tal como reza la norma, no ha sido cumplido y ello no puede favorecer al incumplidor dado que  "... Es evidente la diferencia que se presenta, a los fines de su eficacia probatoria, entre los libros de comercio que son reputados indispensables por la legislación comercial y aquéllos otros libros que no revisten tal carácter, como sucede con los </w:t>
      </w:r>
      <w:r>
        <w:rPr>
          <w:u w:val="single"/>
          <w:lang w:val="es-AR" w:eastAsia="es-AR" w:bidi="es-AR"/>
        </w:rPr>
        <w:t xml:space="preserve">libros de IVA</w:t>
      </w:r>
      <w:r>
        <w:rPr>
          <w:lang w:val="es-AR" w:eastAsia="es-AR" w:bidi="es-AR"/>
        </w:rPr>
        <w:t xml:space="preserve"> que son exigibles por disposiciones de orden fiscal; siendo por demás notoria la prevalencia que cabe asignarle a los primeros..."  (el resaltado me pertenece  cfr. en tal sentido CAAzul “Radiodifusora Tandil SRL c/ Thaun SA s/ Cobro Sumario Sumas Dinero” (Causa N° 63.275).</w:t>
      </w:r>
    </w:p>
    <w:p>
      <w:pPr>
        <w:pStyle w:val="[Normal]"/>
        <w:spacing w:line="360" w:lineRule="auto"/>
        <w:ind w:firstLine="1134"/>
        <w:jc w:val="both"/>
        <w:rPr>
          <w:lang w:val="es-AR" w:eastAsia="es-AR" w:bidi="es-AR"/>
        </w:rPr>
      </w:pPr>
      <w:r>
        <w:rPr>
          <w:lang w:val="es-AR" w:eastAsia="es-AR" w:bidi="es-AR"/>
        </w:rPr>
        <w:t xml:space="preserve">Se ha sostenido que “...Más allá del problema vinculado a la exigibilidad o no de su rubricación, lo cierto es que atento sus fines impositivos y por no encontrarse mencionado por el art. 44 del código mercantil, el Libro IVA no tiene la eficacia probatoria en juicio entre comerciantes que el art. 63 de ese cuerpo legal asigna a los libros de comercio..." . “... El libro de IVA, en efecto, no puede ser considerado como adecuada suplencia de los que requiere el art. 44 del Código de Comercio debiendo entenderse, por ende, que no refleja un cuadro verídico de los negocios...". " ... " ( Conf. CNCom. Sala D, 05/02/1991, Tintorería Industrial Muller y Cía. SA C/ Dubella SA S/ Sumario, Conf. CNCom. Sala D, 29/9/86, Complements SA C/ Díaz de Mansur; íd. Sala D, 13/10/2006, Paramen SA C/ Rutilex Hidrocarburos SA S/ Ordinario; íd. Sala D, 20/11/2006, Equifarma SA C/ Dis-Far-Mar SA; íd. Sala D, 04/06/2007, Creatividad y Arte Publicitario SRL C/ Araneta, Edgardo Bautista S/ Ordinario; íd. Sala B, 14/11/2001, Conapa Cía. Naviera Paraná S/ Quiebra S/ Inc. de Verif. por Maritima Seghini; íd. Sala B, 07/08/1990, Ledafilms SA C/ Video de la Costa SA S/ Sum.).</w:t>
      </w:r>
    </w:p>
    <w:p>
      <w:pPr>
        <w:pStyle w:val="[Normal]"/>
        <w:spacing w:line="360" w:lineRule="auto"/>
        <w:ind w:firstLine="1134"/>
        <w:jc w:val="both"/>
        <w:rPr>
          <w:lang w:val="es-AR" w:eastAsia="es-AR" w:bidi="es-AR"/>
        </w:rPr>
      </w:pPr>
      <w:r>
        <w:rPr>
          <w:lang w:val="es-AR" w:eastAsia="es-AR" w:bidi="es-AR"/>
        </w:rPr>
        <w:t xml:space="preserve">Este incumplimiento, motiva que el saldo deudor que se pretende  ejecutar se haya hecho sobre una certificación contable sobre el Libro IVA Ventas, pero éste no refleja la realidad del contrato (si lo hubo) y su finalidad es netamente tributaria y no puede sustituir la documentación que por ley estaba obligado el comerciante a llevar y así constituirse supletoriamente en la base para determinar un saldo.</w:t>
      </w:r>
    </w:p>
    <w:p>
      <w:pPr>
        <w:pStyle w:val="[Normal]"/>
        <w:spacing w:line="360" w:lineRule="auto"/>
        <w:ind w:firstLine="1134"/>
        <w:jc w:val="both"/>
        <w:rPr>
          <w:lang w:val="es-AR" w:eastAsia="es-AR" w:bidi="es-AR"/>
        </w:rPr>
      </w:pPr>
      <w:r>
        <w:rPr>
          <w:lang w:val="es-AR" w:eastAsia="es-AR" w:bidi="es-AR"/>
        </w:rPr>
        <w:t xml:space="preserve">Como bien se lo señala en el agravio, el examen del título base que impone el Código Procesal al juzgador, es oficioso  por cuanto sin título no hay ejecución, circunstancia que se extrema aún más en el presente caso por la particularidad que el instrumento es elaborado por el propio ejecutante y de manera unilateral.</w:t>
      </w:r>
    </w:p>
    <w:p>
      <w:pPr>
        <w:pStyle w:val="[Normal]"/>
        <w:spacing w:line="360" w:lineRule="auto"/>
        <w:ind w:firstLine="1134"/>
        <w:jc w:val="both"/>
        <w:rPr>
          <w:lang w:val="es-AR" w:eastAsia="es-AR" w:bidi="es-AR"/>
        </w:rPr>
      </w:pPr>
      <w:r>
        <w:rPr>
          <w:lang w:val="es-AR" w:eastAsia="es-AR" w:bidi="es-AR"/>
        </w:rPr>
        <w:t xml:space="preserve">El procedimiento empleado por el ejecutante y tomado por el sentenciante es el previsto en el art. 1440 del C.C.C., que se encuentra el capítulo 15 del texto legal que se inicia en el art. 1430, que se denomina "Cuenta Corriente " y que "... como consecuencia de la unificación de la legislación civil y comercial se regula el contrato,..., sin el adjetivo mercantil... (cfr.  Jorge H. Alterini: " Cód. Civ. y Com. com T VII p. 255). </w:t>
      </w:r>
    </w:p>
    <w:p>
      <w:pPr>
        <w:pStyle w:val="[Normal]"/>
        <w:spacing w:line="360" w:lineRule="auto"/>
        <w:ind w:firstLine="1134"/>
        <w:jc w:val="both"/>
        <w:rPr>
          <w:lang w:val="es-AR" w:eastAsia="es-AR" w:bidi="es-AR"/>
        </w:rPr>
      </w:pPr>
      <w:r>
        <w:rPr>
          <w:lang w:val="es-AR" w:eastAsia="es-AR" w:bidi="es-AR"/>
        </w:rPr>
        <w:t xml:space="preserve">Empero, entiendo que la calificación dada a la relación jurídica que vinculó a las partes "cuenta corriente mercantil", en el caso, es errónea por cuanto considero que la relación entre las partes se estructuró en la llamada cuenta de gestión o simple, que es la que los comerciantes abren a sus clientes y por la cual efectúan transacciones o compraventa hasta un determinado monto o plazo en la que vencido uno u otro se exige el cobro.</w:t>
      </w:r>
    </w:p>
    <w:p>
      <w:pPr>
        <w:pStyle w:val="[Normal]"/>
        <w:spacing w:line="360" w:lineRule="auto"/>
        <w:ind w:firstLine="1134"/>
        <w:jc w:val="both"/>
        <w:rPr>
          <w:lang w:val="es-AR" w:eastAsia="es-AR" w:bidi="es-AR"/>
        </w:rPr>
      </w:pPr>
      <w:r>
        <w:rPr>
          <w:lang w:val="es-AR" w:eastAsia="es-AR" w:bidi="es-AR"/>
        </w:rPr>
        <w:t xml:space="preserve"> Dichas cuentas de gestión, tienen por función otorgar cierto crédito a estos últimos, o conceder cierta espera en el pago de las operaciones celebradas. Supone fluidez o habitualidad en el trato comercial de ambas partes, presuponiendo también una dosis de confianza que debe necesariamente existir.</w:t>
      </w:r>
    </w:p>
    <w:p>
      <w:pPr>
        <w:pStyle w:val="[Normal]"/>
        <w:spacing w:line="360" w:lineRule="auto"/>
        <w:ind w:firstLine="1134"/>
        <w:jc w:val="both"/>
        <w:rPr>
          <w:lang w:val="es-AR" w:eastAsia="es-AR" w:bidi="es-AR"/>
        </w:rPr>
      </w:pPr>
      <w:r>
        <w:rPr>
          <w:lang w:val="es-AR" w:eastAsia="es-AR" w:bidi="es-AR"/>
        </w:rPr>
        <w:t xml:space="preserve">"... En las cuentas simples no existen remesas recíprocas: los créditos y las deudas conservan su individualidad y sólo se ordenan en dos columnas, de debe y haber, para facilitar la obtención del saldo a favor de una de las partes, por tratarse de cantidades de un denominador común. Se trata de una forma de contabilidad en la cual se asientan una serie de contratos autónomos que conservan su exigibilidad y el cobro de cualquiera de ellos no cubierto con las entregas del deudor puede ser reclamado judicialmente en forma individual. La diferencia con la cuenta corriente es que ninguna de las operaciones pierde su individualidad, pudiendo en consecuencia, reclamarse separadamente cada uno de los créditos. Los fondos entregados por una de las partes tienen una imputación concreta, destinada a cancelar los débitos correspondientes. La carencia de una regulación propia en el Código actual no significa que la cuenta simple o de gestión no exista, sino que se trata de un contrato innominado, sujeto a la regulación prevista en el art. 970 del CCCN..." (UNIFICACION CIVIL Y COMERCIAL ~ CODIGO CIVIL Y COMERCIAL DE LA NACION ~ CONTRATO ~ CONTRATO BANCARIO ~ CUENTA CORRIENTE MERCANTIL Título: El contrato de cuenta corriente en el nuevo Código Civil y Comercial Autores: Caramelo, Gustavo Kandus, Cecilia B. Publicado en: Sup. Esp. Nuevo Código Civil y Comercial de la Nación. Contratos en particular 2015 (abril), 21/04/2015, 329 Cita Online: AR/DOC/1097/2015).</w:t>
      </w:r>
    </w:p>
    <w:p>
      <w:pPr>
        <w:pStyle w:val="[Normal]"/>
        <w:spacing w:line="360" w:lineRule="auto"/>
        <w:ind w:firstLine="1134"/>
        <w:jc w:val="both"/>
        <w:rPr>
          <w:lang w:val="es-AR" w:eastAsia="es-AR" w:bidi="es-AR"/>
        </w:rPr>
      </w:pPr>
      <w:r>
        <w:rPr>
          <w:lang w:val="es-AR" w:eastAsia="es-AR" w:bidi="es-AR"/>
        </w:rPr>
        <w:t xml:space="preserve">Entonces, la relación entre las partes se rige por el art. 970 del C.C.C. que textualmente dice: "- Contratos nominados e innominados. Los contratos son nominados e innominados según que la ley los regule especialmente o no. Los contratos innominados están regidos, en el siguiente orden, por: a) la voluntad de las partes; b) las normas generales sobre contratos y obligaciones; c) los usos y prácticas del lugar de celebración; d) las disposiciones correspondientes a los contratos nominados afines que son compatibles y se adecuan a su finalidad.</w:t>
      </w:r>
    </w:p>
    <w:p>
      <w:pPr>
        <w:pStyle w:val="[Normal]"/>
        <w:spacing w:line="360" w:lineRule="auto"/>
        <w:ind w:firstLine="1134"/>
        <w:jc w:val="both"/>
        <w:rPr>
          <w:lang w:val="es-AR" w:eastAsia="es-AR" w:bidi="es-AR"/>
        </w:rPr>
      </w:pPr>
      <w:r>
        <w:rPr>
          <w:lang w:val="es-AR" w:eastAsia="es-AR" w:bidi="es-AR"/>
        </w:rPr>
        <w:t xml:space="preserve">En el Código de Comercio derogado, en el art. 772 decía que: "... Las cuentas que no reúnan todas las condiciones enunciadas en el artículo anterior (cuenta corriente mercantil), son cuentas simples o de gestión, y no están sujetas a las prescripciones de este título...".</w:t>
      </w:r>
    </w:p>
    <w:p>
      <w:pPr>
        <w:pStyle w:val="[Normal]"/>
        <w:spacing w:line="360" w:lineRule="auto"/>
        <w:ind w:firstLine="1134"/>
        <w:jc w:val="both"/>
        <w:rPr>
          <w:lang w:val="es-AR" w:eastAsia="es-AR" w:bidi="es-AR"/>
        </w:rPr>
      </w:pPr>
      <w:r>
        <w:rPr>
          <w:lang w:val="es-AR" w:eastAsia="es-AR" w:bidi="es-AR"/>
        </w:rPr>
        <w:t xml:space="preserve">Y, la jurisprudencia entendía que "...No constituyen cuenta corriente mercantil sino simple o de gestión, aquellos casos en que el saldo deudor emergente de una relación comercial entre las partes, y en las que el asentamiento de operaciones en las columnas del "debe y haber" obedecieron al empleo de una técnica contable, pero manteniendo individualización y autonomía las operaciones que las abastecían. De modo que no resulta aplicable la normativa del art. 771 del Cód. Com..." (CC0002 AZ 52369 RSD-177-8 S 11/12/2008). "... No cabe reconocer la vía ejecutiva para el reclamo de saldos acreedores provenientes de cuentas simples o de gestión, pues de lo contrario cualquier comerciante podría crear un título privilegiado, haciendo reconocer por su adversario, hasta por vía del silencio de éste, el saldo a su favor que surja de sus libros de contabilidad, privando así al deudor del derecho a discutir las defensas extracontractuales que tuviere..." (CC0002 SM 51045 RSD-179-2 S 18/06/2002). "...No existe cuenta corriente sino cuenta simple o de gestión si los fondos remitidos se hallaban de antemano afectados a un empleo determinado, o sea, en el caso, el de responder por mercaderías o valores entregados. Si solo ha habido un comprador y un vendedor, se trata de una cuenta simple o de gestión. Las partidas no han cambiado su naturaleza por el hecho de ingresar a la cuenta y los créditos mantienen, a través de la misma, la acción que los protegía primitivamente. Debe, pues, denegarse la vía ejecutiva..." (JZ0000 VG 1360 RSI-258-95 I 15/08/1995).</w:t>
      </w:r>
    </w:p>
    <w:p>
      <w:pPr>
        <w:pStyle w:val="[Normal]"/>
        <w:spacing w:line="360" w:lineRule="auto"/>
        <w:ind w:firstLine="1134"/>
        <w:jc w:val="both"/>
        <w:rPr>
          <w:lang w:val="es-AR" w:eastAsia="es-AR" w:bidi="es-AR"/>
        </w:rPr>
      </w:pPr>
      <w:r>
        <w:rPr>
          <w:lang w:val="es-AR" w:eastAsia="es-AR" w:bidi="es-AR"/>
        </w:rPr>
        <w:t xml:space="preserve">Así el antiguo texto legal y su jurisprudencia, consideraban inválido el título elaborado sobre cuentas de gestión y el nuevo texto legal no ha regulado a la misma y como se dijera se reenvía a las disposiciones del  art. 970 del C.C.C., entonces ya en la legislación anterior a la cuenta de gestión no le era aplicable la normativa de la cuenta corriente mercantil, tampoco podemos extender el procedimiento del art. 1440 C.C.C., a un contrato que se rige por otros parámetros y así facultar a cualquier comerciante a confeccionar de modo unilateral títulos ejecutivos.</w:t>
      </w:r>
    </w:p>
    <w:p>
      <w:pPr>
        <w:pStyle w:val="[Normal]"/>
        <w:spacing w:line="360" w:lineRule="auto"/>
        <w:ind w:firstLine="1134"/>
        <w:jc w:val="both"/>
        <w:rPr>
          <w:lang w:val="es-AR" w:eastAsia="es-AR" w:bidi="es-AR"/>
        </w:rPr>
      </w:pPr>
      <w:r>
        <w:rPr>
          <w:lang w:val="es-AR" w:eastAsia="es-AR" w:bidi="es-AR"/>
        </w:rPr>
        <w:t xml:space="preserve">Dicho esto, entiendo que en el caso se trata de una cuenta de gestión y no mercantil regida por los arts. 1430 y sgtes. del C.C.C. y con ello el destino de la pretensión.</w:t>
      </w:r>
    </w:p>
    <w:p>
      <w:pPr>
        <w:pStyle w:val="[Normal]"/>
        <w:spacing w:line="360" w:lineRule="auto"/>
        <w:ind w:firstLine="1134"/>
        <w:jc w:val="both"/>
        <w:rPr>
          <w:lang w:val="es-AR" w:eastAsia="es-AR" w:bidi="es-AR"/>
        </w:rPr>
      </w:pPr>
      <w:r>
        <w:rPr>
          <w:lang w:val="es-AR" w:eastAsia="es-AR" w:bidi="es-AR"/>
        </w:rPr>
        <w:t xml:space="preserve">Para así concluir, es de advertir que de la lectura de la carta documento agregada a la causa, la intimación a las herederas demandadas se efectúa para que abonen dentro de los diez (10) días, el saldo deudor por la compra de mercaderías de lencería, que proviene de los remitos y facturas cuya numeración se detalla.</w:t>
      </w:r>
    </w:p>
    <w:p>
      <w:pPr>
        <w:pStyle w:val="[Normal]"/>
        <w:spacing w:line="360" w:lineRule="auto"/>
        <w:ind w:firstLine="1134"/>
        <w:jc w:val="both"/>
        <w:rPr>
          <w:lang w:val="es-AR" w:eastAsia="es-AR" w:bidi="es-AR"/>
        </w:rPr>
      </w:pPr>
      <w:r>
        <w:rPr>
          <w:lang w:val="es-AR" w:eastAsia="es-AR" w:bidi="es-AR"/>
        </w:rPr>
        <w:t xml:space="preserve">Es decir que se reclama el monto de la sumatoria de lo facturado por mercaderías que se denuncian impagas, más no se reclama el saldo  surgente de la liquidación de créditos recíprocos.</w:t>
      </w:r>
    </w:p>
    <w:p>
      <w:pPr>
        <w:pStyle w:val="[Normal]"/>
        <w:spacing w:line="360" w:lineRule="auto"/>
        <w:ind w:firstLine="1134"/>
        <w:jc w:val="both"/>
        <w:rPr>
          <w:lang w:val="es-AR" w:eastAsia="es-AR" w:bidi="es-AR"/>
        </w:rPr>
      </w:pPr>
      <w:r>
        <w:rPr>
          <w:lang w:val="es-AR" w:eastAsia="es-AR" w:bidi="es-AR"/>
        </w:rPr>
        <w:t xml:space="preserve">"...En efecto, una de las características de la cuenta corriente mercantil es la "indivisibilidad" de las dos masas de debe y haber y que hace que los créditos incluidos en la cuenta pierdan su individualidad para convertirse en simple elementos del crédito eventual de saldo. Y así "... luego de esa inclusión, ya no se puede hablar de crédito por precio o locación u otro concepto pues tal crédito se ha transformado y la cantidad acreditada queda sujeta al régimen de la cuenta corriente, esto es compensación de ambas masas y liquidación al momento de proceder a su cierre... " (Cfr. Jorge  H. Alterini, ob. cit. p. 270).</w:t>
      </w:r>
    </w:p>
    <w:p>
      <w:pPr>
        <w:pStyle w:val="[Normal]"/>
        <w:spacing w:line="360" w:lineRule="auto"/>
        <w:ind w:firstLine="1134"/>
        <w:jc w:val="both"/>
        <w:rPr>
          <w:lang w:val="es-AR" w:eastAsia="es-AR" w:bidi="es-AR"/>
        </w:rPr>
      </w:pPr>
      <w:r>
        <w:rPr>
          <w:lang w:val="es-AR" w:eastAsia="es-AR" w:bidi="es-AR"/>
        </w:rPr>
        <w:t xml:space="preserve">De todo lo expuesto hemos de concluir que, la parte ejecutante, sobre libros que no reflejan la verdad del negocio con que se vinculó con quien fuera en vida Leticia Cocilova, creó un saldo deudor que pretendió ejecutar como el proveniente de una cuenta corriente mercantil cuando en realidad la vinculación entre las partes es por medio de un contrato innominado regulado por el art. 970 del C.C.C., o como se las llamaba con anterioridad a la unificación de los Códigos Civil y Comercial, cuentas de gestión. Ni antes, ni ahora se ha admitido, que este tipo de contrato se ejecute por las vías propias de la cuenta corriente mercantil que estatuye el art. 1440 del C.C.C..</w:t>
      </w:r>
    </w:p>
    <w:p>
      <w:pPr>
        <w:pStyle w:val="[Normal]"/>
        <w:spacing w:line="360" w:lineRule="auto"/>
        <w:ind w:firstLine="1134"/>
        <w:jc w:val="both"/>
        <w:rPr>
          <w:lang w:val="es-AR" w:eastAsia="es-AR" w:bidi="es-AR"/>
        </w:rPr>
      </w:pPr>
      <w:r>
        <w:rPr>
          <w:lang w:val="es-AR" w:eastAsia="es-AR" w:bidi="es-AR"/>
        </w:rPr>
        <w:t xml:space="preserve">Así las cosas, el saldo deudor así confeccionado no es un título que trae aparejada ejecución en los términos de los arts. 518, 521, 522 del CPC., ni tampoco del que edicta el art. 1440 del C.C.C., por lo que como se dijera supra, sin título no hay ejecución y en consecuencia corresponde revocar la sentencia (arts. 529, 549 y ccs. del CPC.).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desestimar la ejecución promovida. Con costas en ambas instancias a la actora perdidosa (art. 68 CPC.) y diferir la regulación de los honorarios de los Letrados intervinientes para el momento procesal oportuno (arts. 31 y 51 de la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desestimar la ejecución promovida. Con costas en ambas instancias a la actora perdidosa (art. 68 CPC.) y diferir la regulación de los honorarios de los Letrados intervinientes para el momento procesal oportuno (arts. 31 y 51 de la L.H.)</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10:03:11 -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10:08:21 -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11:04:31 -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‰7C")è%èE&lt;ÂŠ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233502090005003728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‰7C")è%èE&lt;ÂŠ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233502090005003728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